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0B" w:rsidRPr="00AA2F76" w:rsidRDefault="0081210B" w:rsidP="0081210B">
      <w:pPr>
        <w:ind w:left="-284" w:right="-284"/>
        <w:rPr>
          <w:b/>
          <w:u w:val="single"/>
        </w:rPr>
      </w:pPr>
      <w:r w:rsidRPr="00AA2F76">
        <w:rPr>
          <w:b/>
          <w:u w:val="single"/>
        </w:rPr>
        <w:t>PARKING AND ROAD TRAFFIC APPEALS</w:t>
      </w:r>
    </w:p>
    <w:p w:rsidR="0081210B" w:rsidRPr="00AA2F76" w:rsidRDefault="0081210B" w:rsidP="0081210B">
      <w:pPr>
        <w:ind w:left="-284" w:right="-284"/>
        <w:rPr>
          <w:u w:val="single"/>
        </w:rPr>
      </w:pPr>
    </w:p>
    <w:p w:rsidR="0081210B" w:rsidRPr="00AA2F76" w:rsidRDefault="0081210B" w:rsidP="0081210B">
      <w:pPr>
        <w:ind w:left="-284" w:right="-284"/>
        <w:jc w:val="right"/>
        <w:rPr>
          <w:b/>
        </w:rPr>
      </w:pPr>
      <w:r w:rsidRPr="00AA2F76">
        <w:rPr>
          <w:b/>
          <w:u w:val="single"/>
        </w:rPr>
        <w:t xml:space="preserve">ANGEL HEARING CENTRE </w:t>
      </w:r>
    </w:p>
    <w:p w:rsidR="0081210B" w:rsidRPr="00AA2F76" w:rsidRDefault="0081210B" w:rsidP="0081210B">
      <w:pPr>
        <w:ind w:left="-284" w:right="-284"/>
      </w:pPr>
    </w:p>
    <w:p w:rsidR="0081210B" w:rsidRPr="00AA2F76" w:rsidRDefault="0081210B" w:rsidP="0081210B">
      <w:pPr>
        <w:ind w:left="-284" w:right="-284"/>
      </w:pPr>
      <w:r>
        <w:t>Before Adjudicator</w:t>
      </w:r>
      <w:r w:rsidRPr="00AA2F76">
        <w:t>:</w:t>
      </w:r>
    </w:p>
    <w:p w:rsidR="0081210B" w:rsidRPr="00AA2F76" w:rsidRDefault="005F7052" w:rsidP="0081210B">
      <w:pPr>
        <w:spacing w:before="100"/>
        <w:ind w:left="-284" w:right="-284"/>
        <w:rPr>
          <w:b/>
        </w:rPr>
      </w:pPr>
      <w:r w:rsidRPr="005F7052">
        <w:rPr>
          <w:b/>
        </w:rPr>
        <w:t>Christopher Rayner</w:t>
      </w:r>
    </w:p>
    <w:p w:rsidR="0081210B" w:rsidRPr="00AA2F76" w:rsidRDefault="0081210B" w:rsidP="0081210B">
      <w:pPr>
        <w:ind w:left="-284" w:right="-284"/>
        <w:rPr>
          <w:b/>
        </w:rPr>
      </w:pPr>
    </w:p>
    <w:p w:rsidR="0081210B" w:rsidRPr="00AA2F76" w:rsidRDefault="0081210B" w:rsidP="0081210B">
      <w:pPr>
        <w:ind w:left="-284" w:right="-284"/>
        <w:rPr>
          <w:b/>
        </w:rPr>
      </w:pPr>
    </w:p>
    <w:p w:rsidR="005F7052" w:rsidRDefault="005F7052" w:rsidP="0081210B">
      <w:pPr>
        <w:spacing w:before="100"/>
        <w:ind w:left="-284" w:right="-284"/>
        <w:jc w:val="center"/>
        <w:rPr>
          <w:b/>
        </w:rPr>
      </w:pPr>
      <w:r w:rsidRPr="005F7052">
        <w:rPr>
          <w:b/>
        </w:rPr>
        <w:t>Ian Stuart Thomson</w:t>
      </w:r>
    </w:p>
    <w:p w:rsidR="0081210B" w:rsidRPr="00AA2F76" w:rsidRDefault="0081210B" w:rsidP="0081210B">
      <w:pPr>
        <w:spacing w:before="100"/>
        <w:ind w:left="-284" w:right="-284"/>
        <w:jc w:val="center"/>
      </w:pPr>
      <w:r w:rsidRPr="00AA2F76">
        <w:t>-v-</w:t>
      </w:r>
    </w:p>
    <w:p w:rsidR="0081210B" w:rsidRDefault="005F7052" w:rsidP="0081210B">
      <w:pPr>
        <w:spacing w:before="100"/>
        <w:ind w:left="-284" w:right="-284"/>
        <w:jc w:val="center"/>
        <w:rPr>
          <w:b/>
        </w:rPr>
      </w:pPr>
      <w:r>
        <w:rPr>
          <w:b/>
        </w:rPr>
        <w:t>London Borough of Camden</w:t>
      </w:r>
    </w:p>
    <w:p w:rsidR="00090488" w:rsidRPr="00090488" w:rsidRDefault="0081210B" w:rsidP="00090488">
      <w:pPr>
        <w:spacing w:before="100"/>
        <w:ind w:left="-284" w:right="-284"/>
        <w:jc w:val="right"/>
      </w:pPr>
      <w:r w:rsidRPr="00AA2F76">
        <w:rPr>
          <w:i/>
        </w:rPr>
        <w:t xml:space="preserve">Appeal number </w:t>
      </w:r>
      <w:r w:rsidR="005F7052" w:rsidRPr="005F7052">
        <w:t>2140323858</w:t>
      </w:r>
    </w:p>
    <w:p w:rsidR="0081210B" w:rsidRPr="0081210B" w:rsidRDefault="0081210B" w:rsidP="0081210B">
      <w:pPr>
        <w:spacing w:before="100"/>
        <w:ind w:left="-284" w:right="-284"/>
        <w:jc w:val="right"/>
        <w:rPr>
          <w:b/>
        </w:rPr>
      </w:pPr>
    </w:p>
    <w:p w:rsidR="0081210B" w:rsidRPr="00AA2F76" w:rsidRDefault="0081210B" w:rsidP="0081210B">
      <w:pPr>
        <w:ind w:left="-284" w:right="-284"/>
      </w:pPr>
    </w:p>
    <w:p w:rsidR="0081210B" w:rsidRPr="00AA2F76" w:rsidRDefault="0081210B" w:rsidP="0081210B">
      <w:pPr>
        <w:ind w:left="-284" w:right="-284"/>
      </w:pPr>
      <w:r w:rsidRPr="00AA2F76">
        <w:t xml:space="preserve">Date of </w:t>
      </w:r>
      <w:r>
        <w:t>Decision</w:t>
      </w:r>
      <w:r w:rsidRPr="00AA2F76">
        <w:t xml:space="preserve">: </w:t>
      </w:r>
      <w:r w:rsidR="005F7052">
        <w:t>11 November 2014</w:t>
      </w:r>
    </w:p>
    <w:p w:rsidR="0081210B" w:rsidRPr="00AA2F76" w:rsidRDefault="0081210B" w:rsidP="0081210B">
      <w:pPr>
        <w:ind w:left="-284" w:right="-284"/>
        <w:jc w:val="right"/>
        <w:rPr>
          <w:b/>
        </w:rPr>
      </w:pPr>
    </w:p>
    <w:p w:rsidR="0081210B" w:rsidRPr="00AA2F76" w:rsidRDefault="0081210B" w:rsidP="0081210B">
      <w:pPr>
        <w:ind w:left="-284" w:right="-284"/>
        <w:jc w:val="right"/>
        <w:rPr>
          <w:b/>
        </w:rPr>
      </w:pPr>
    </w:p>
    <w:p w:rsidR="0081210B" w:rsidRPr="00AA2F76" w:rsidRDefault="0081210B" w:rsidP="0081210B">
      <w:pPr>
        <w:pBdr>
          <w:top w:val="single" w:sz="4" w:space="1" w:color="auto"/>
          <w:bottom w:val="single" w:sz="4" w:space="1" w:color="auto"/>
        </w:pBdr>
        <w:ind w:left="-284" w:right="-284"/>
        <w:jc w:val="center"/>
        <w:rPr>
          <w:b/>
        </w:rPr>
      </w:pPr>
    </w:p>
    <w:p w:rsidR="0081210B" w:rsidRPr="00737B61" w:rsidRDefault="0081210B" w:rsidP="0081210B">
      <w:pPr>
        <w:pBdr>
          <w:top w:val="single" w:sz="4" w:space="1" w:color="auto"/>
          <w:bottom w:val="single" w:sz="4" w:space="1" w:color="auto"/>
        </w:pBdr>
        <w:ind w:left="-284" w:right="-284"/>
        <w:jc w:val="center"/>
        <w:rPr>
          <w:b/>
          <w:sz w:val="32"/>
          <w:szCs w:val="32"/>
        </w:rPr>
      </w:pPr>
      <w:r w:rsidRPr="00737B61">
        <w:rPr>
          <w:b/>
          <w:sz w:val="32"/>
          <w:szCs w:val="32"/>
        </w:rPr>
        <w:t>D E C I S I O N</w:t>
      </w:r>
    </w:p>
    <w:p w:rsidR="0081210B" w:rsidRPr="00AA2F76" w:rsidRDefault="0081210B" w:rsidP="0081210B">
      <w:pPr>
        <w:pBdr>
          <w:top w:val="single" w:sz="4" w:space="1" w:color="auto"/>
          <w:bottom w:val="single" w:sz="4" w:space="1" w:color="auto"/>
        </w:pBdr>
        <w:ind w:left="-284" w:right="-284"/>
        <w:jc w:val="center"/>
        <w:rPr>
          <w:b/>
        </w:rPr>
      </w:pPr>
    </w:p>
    <w:p w:rsidR="0081210B" w:rsidRDefault="0081210B"/>
    <w:p w:rsidR="005F7052" w:rsidRDefault="005F7052" w:rsidP="005F7052">
      <w:pPr>
        <w:autoSpaceDE w:val="0"/>
        <w:autoSpaceDN w:val="0"/>
        <w:adjustRightInd w:val="0"/>
        <w:spacing w:before="100" w:after="100"/>
      </w:pPr>
      <w:r>
        <w:t xml:space="preserve">1) Mr. Thomson attended the Tribunal on 15 September 2014 to present his appeal. In well drafted and attractively presented submissions, Mr. Thomson had raised significant legal issues, I adjourned the appeal on that occasion and reserved my decision. I apologise that it has taken so long to complete that decision, caused partly by the complexity of the issues and partly by infrequent sittings in the Tribunal.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 Camden council, the enforcement authority, removed Mr. Thomson's car, LB54FVD, submitting that it had committed a contravention by parking unlawfully in a bay in Arlington Road on Sunday 8 June 2014. Mr. Thomson raises issues about nearly every stage of the procedure. In respect of the removal of the car in particular, Mr. Thomson raises issues that have been before the Tribunal on a number of occasions. In 2011 I decided case no. 2110405341 where I rejected a number of submissions very similar to those made by Mr. Thomson. That case has been followed by a number of my adjudicator colleagues since then. It has not, as far as I am aware, been "reversed" by any adjudicator either at first instance or on review. I am unaware of any motorist having taken the issue to the Administrative Court. For the reasons I give below, I have concluded that nothing that Mr. Thomson has raised contradicts my view from that time. He has however raised a number of other issues, which I also consider in the appeal. The Contravention.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3) The civil enforcement officer (CEO) records that Mr. Thomson's car, LB54FVD, was parked in a permit space in Arlington Road at 16:14 on Sunday 8 July 2014. The </w:t>
      </w:r>
      <w:proofErr w:type="spellStart"/>
      <w:r>
        <w:t>timeplate</w:t>
      </w:r>
      <w:proofErr w:type="spellEnd"/>
      <w:r>
        <w:t xml:space="preserve"> in the bay reads, "Permit holders only / T80 T81 T82 / …Sat &amp; Sun 9.30 am - 5:30 pm." The car was not displaying any permit or other authority to park. He </w:t>
      </w:r>
      <w:r>
        <w:lastRenderedPageBreak/>
        <w:t xml:space="preserve">affixed a penalty charge notice (or at least a penalty charge notice envelope) to the windscreen. A series of clear photographs serve to demonstrate the contravention.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4) In relation to that contravention, Mr. Thomson submits that the driver made an honest mistake. He held a residents permit for Camden and had misread the sign, believing that it applied on Saturdays only, and that he had not appreciated the relevance of the trader symbols on the sign. He had not in any event displayed his resident permit, as he believed there was no restriction on Sunday parking.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5) Mr. Thomson submitted that the signage was inadequate and misleading, and the absence of any warning of being towed away would negate the sufficiency of the signage. I do not agree. The signage is absolutely clear, and its application to Sunday is unambiguous. There is no requirement to sign the fact that a vehicle may be towed away. I accept that the driver had made a mistake, and believed he could park, and certainly believed that he would not be removed. However, the traffic scheme in London is described as imposing "strict liability". The enforcement authority has to demonstrate only that a vehicle has committed the contravention. They have to demonstrate that they have provided lawful and reasonable signage, which they have done. They do not have to bring that signage specifically to the attention of every motorist or to demonstrate that the motorist was aware that he or she had acted unlawfully. Albeit the driver misunderstood the sign, he is bound by it. I am satisfied that the contravention is proved. Affixing the PCN to the vehicle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6) Mr. Thomson submitted that the evidence did not demonstrate that the CEO had affixed the PCN to the car windscreen. This was relevant because Regulation 11(5)(b) of the Civil Enforcement of Parking (Representations and Appeal) Regulation 2007 stipulates that it is a ground of appeal that, "a civil enforcement officer had not, in accordance with Regulation 9 of the General Regulations, fixed a penalty charge notice to the vehicle …. </w:t>
      </w:r>
      <w:proofErr w:type="gramStart"/>
      <w:r>
        <w:t>before</w:t>
      </w:r>
      <w:proofErr w:type="gramEnd"/>
      <w:r>
        <w:t xml:space="preserve"> the vehicle was removed." Although expressed as a ground of appeal in the Regulations, the burden is on the enforcement authority to demonstrate that the PCN was served in an appropriate manner. Mr. Thomson submitted that the CEO's photographs showed only an envelope on the windscreen at the scene, that the picture even at the scene suggests a "limp" envelope with nothing in it, and that the CEO may have made his record as a matter of routine. Mr. Thompson relied in part on the fact that the PCN was not in the envelope on the windscreen when he arrived at the vehicle pound. Mr. Thomson acknowledged that the PCN itself was available to the staff at the vehicle pound.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7) I have reviewed the evidence. I rely not only on the photographs of the CEO, but also his written account. He records in his note book that he attached the PCN to the vehicle. The envelope was open at the pound, whereas it was sealed when the CEO took photographs. The PCN was also available at the vehicle pound. The evidence points overwhelmingly to the fact that the CEO put the envelope and PCN on the windscreen at the roadside, that both documents went to the pound with the car and that the PCN was taken out of the envelope at the pound. I find no merit in this ground of appeal. Statutory grounds to remove the vehicle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lastRenderedPageBreak/>
        <w:t xml:space="preserve">8) Another ground raised in Mr. Thomson's appeal is that the enforcement authority does not have statutory authority to remove his car, or to demand payment before releasing it. Mr. Thomson describes the complex statutory provisions that authorise various bodies to remove motor vehicles, and the effect of those removals. He cites the amended provisions of section 99, 101 and 102 of the Road Traffic Regulation Act 1984. So far as relevant, those, and other relevant statutory provisions, read as follows.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9) Section 99(1) The Secretary of State may by regulations make provisions for the removal of vehicles which have been permitted to remain at rest - (a) on a road in contravention of any statutory prohibition or restriction, or (b) (not relevant here) (c) on a road or on any land in the open air, in such a position or in such a condition as to appear to an authority empowered by the regulations to remove such vehicles to have been abandoned without lawful authority.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10) Mr. Thomson's car was removed under The Removal and Disposal of Vehicles Regulations 1986 as amended, which Regulations were made under this provision.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11) Section 101 of the 1984 Act is headed "Ultimate disposal of vehicles abandoned and removable under this Act" and provides. (1) Subject to …. </w:t>
      </w:r>
      <w:proofErr w:type="gramStart"/>
      <w:r>
        <w:t>section</w:t>
      </w:r>
      <w:proofErr w:type="gramEnd"/>
      <w:r>
        <w:t xml:space="preserve"> 101A below, a competent authority may, in such manner as they think fit, dispose of a vehicle which appears to them to be abandoned and which has been, or could at any time be removed in pursuance of- (a) an order to which this section applies, or (b) regulations made under section 99 of this Act.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12) Section 101A of the 1984 Act is headed "Right of owner to recover proceeds of sale" and so far as is relevant reads, (1) If before a vehicle is disposed of by an authority under section 101 above it is claimed by a person who- (a) satisfies the authority that he is its owner, and (b) pays the relevant charges, the authority shall permit him to remove the vehicle from their custody within such period as they may specify or, in the case of an authority other than a local authority, as may be prescribed. (2) If before the end of the period of one year beginning with the date on which a vehicle is sold by an authority under section 101 above a person satisfies the authority that at the time of the sale he was the owner of the vehicle, the authority shall pay him any sum by which the proceeds of sale exceed the amount of the relevant charges. (3) In the case of a vehicle found in an area that is a civil enforcement area for parking contraventions, the relevant charges are- (a) any penalty charge payable in respect of the parking of the vehicle in the place from which it was removed, (b) such unpaid earlier penalty charges relating to the vehicle as may be prescribed, and (c) such sums in respect of the removal and storage of the vehicle- (</w:t>
      </w:r>
      <w:proofErr w:type="spellStart"/>
      <w:r>
        <w:t>i</w:t>
      </w:r>
      <w:proofErr w:type="spellEnd"/>
      <w:r>
        <w:t xml:space="preserve">) as the authority may require in accordance with Schedule 9 of the Traffic Management Act 2004, or (ii) in the case of an authority other than a local authority, as may be prescribed.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13) Section 101B of the 1986 Act is headed, "Representations and Appeals" and reads, as far as is relevant, (1) The Lord Chancellor may make regulations entitling a </w:t>
      </w:r>
      <w:r>
        <w:lastRenderedPageBreak/>
        <w:t xml:space="preserve">person who is in the case of a vehicle found in an area that is a civil enforcement area for parking contraventions - (a) is required to pay an amount on recovering the vehicle under section 101A, …. </w:t>
      </w:r>
      <w:proofErr w:type="gramStart"/>
      <w:r>
        <w:t>to</w:t>
      </w:r>
      <w:proofErr w:type="gramEnd"/>
      <w:r>
        <w:t xml:space="preserve"> make representations to the authority concerned and to appeal to an adjudicator if the representations are not accepted.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14) The Civil Enforcement of Parking Contraventions (England) Representations and Appeals Regulations 2007 are specifically expressed as being made under the authority, inter alia, of section 101B of the 1984 Act. Part 4 of those Regulations, containing regulations 11 - 13, is headed "Representations and appeals in relation to removed vehicles". I have quoted from part of Regulation 12 above, and quote the relevant part of Regulation 11 below, (1) This regulation applies to a person where, as respects a vehicle which has been found in a civil enforcement area for parking contraventions and removed under regulations made under section 99 of the 1984 Act - (a) he is required to pay an amount on recovery of the vehicle under section 101A of that Act …..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15) Finally, section 102 of the 1984 Act is headed, "Charges for removal, storage and disposal of vehicles, and reads, as far as is relevant, (1) The provisions of this section shall have effect where vehicle - … (b) is removed from a road, or from land in the open air, in pursuance of regulations under section 99 of this Act. (2) In any such case - (a) the appropriate authority shall be entitled to recover from any person responsible such charges as may be prescribed in respect of the vehicle;…. (3) Any sum recoverable by virtue of this section shall … be recoverable as a simple contract debt in any court of competent jurisdiction ….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16) Mr. Thomson submits that Camden council could have been relying only on section 101A of the 1984 Act in removing his car and in demanding the release fee. He points out, by reference to Hansard and records of parliamentary </w:t>
      </w:r>
      <w:proofErr w:type="gramStart"/>
      <w:r>
        <w:t>debates, that</w:t>
      </w:r>
      <w:proofErr w:type="gramEnd"/>
      <w:r>
        <w:t xml:space="preserve"> section 101A was intended to be and must be read as subject to section 101. That section applies only to cars that have been abandoned under the provisions of section 101. Section 102 of the 1984 Act requires the relevant enforcement authority to recover any sum "as a simple contract debt", and not through the enforcement process.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17) While the statutory provisions are far from straightforward, I cannot adopt Mr. Thomson's analysis. Simply stated, section 101 of the Act does not require the abandonment to be evident at the time of contravention or removal. It requires the abandonment to be evident at the time of disposal. An enforcement authority has power to remove a vehicle that is parked unlawfully. Once the vehicle is removed, it may be returned to the person who appears to the enforcement authority to be the owner, on payment of the release fee. Alternatively, if it appears to be abandoned after it has been removed, the enforcement authority may sell it. Should the owner "come to light" after the sale, he or she may be eligible for a refund of part of the proceeds of sale. Denial of right to make representation against the PCN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lastRenderedPageBreak/>
        <w:t xml:space="preserve">18) Mr. Thomson submits that the process adopted by Camden council in pursuing this penalty denies him of the rights he would otherwise have to make informal representations, receive a notice to owner form, make formal representations and appeal against the PCN. If his car had not been removed, and Camden had not demanded payment before they released his car, Mr. Thomson could have pursued any or all of these remedies and only if they were unsuccessful would he have been required to pay the PCN.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19) I accept that the statutory process adopted when vehicles are removed means that a motorist's ability to make representations against the PCN are altered. However, I do not find that this makes the process unlawful. Camden was acting within the statutory framework in demanding the PCN penalty, and the removal fee, before allowing Mr. Thomson to have his car and to pursue his appeal rights. Section 101A of the Road Traffic Regulation Act 1984 above is relevant. "Payable" in Regulation 101A(3)(a) refers back to "the relevant charges" in section 101A(1)(b) so that it must be paid prior to release, not after a separate enforcement process to be undertaken in respect of the PCN and separate from the payment of the release fee.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20) I find further support for this view in the overall construction of the enforcement, representations and appeal regulations for parking contraventions. There are at least four different enforcement procedures, each with different rights in the process and different appeal right, in relation to parking contraventions: "on street" Regulation 9 PCNs; photographic regulation 10 PCNs; immobilisation cases; and removal cases. Each process is self-contained and the fact that, for example, the enforcement and appeal process for removal cases may contradict some of the processes for Regulation 9 PCN enforcement does not, in my view mean that the enforcement authority somehow has to adapt the removal enforcement process to accommodate the Regulation 9 process. Camden council is entitled to rely on the clear language relating to the enforcement of penalties when cars are removed, even if that is different from the processes for enforcement of regulation 9 PCNs.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21) I also note that in any event, the motorist is not denied an opportunity to appeal against the PCN. Most of the grounds of appeal available to a motorist for a PCN issued under Regulation 9 are available to him under the removal procedure. The difference is that he must pay the penalty before he can have his car released and pursue his appeal. "Payment" or "loan".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22) When Mr. Thomson paid the release fee at the vehicle pound, he explained to the member of staff that he was not paying the release fee but was making a loan equivalent to the release fee. Mr. Thomson wrote that on his copy of the document. The member of staff advised him that this was his right. Mr. Thomson submits that a loan does not amount to a payment and therefore Camden council has followed the incorrect procedure. As he had not paid a release fee, he should have been afforded his rights under a Regulation 9 PCN, including a notice to owner form.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lastRenderedPageBreak/>
        <w:t xml:space="preserve">23) The process for enforcement of parking contravention is statutory. It is not a contract between the enforcement authority and the motorist. It is not open to either party to step outside of the enforcement process and describe actions taken as part of the enforcement process as something other than what they are described in that process. The only statutory interpretation of the transaction between Mr. Thomson and Camden council is that he made them a payment.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24) The fact Mr. Thomson described it as a "loan" does not make it so, or alter its statutory characteristics. It was a payment made in the context of a statutory procedure for the release of his car. However Mr. Thomson chooses to characterise it - payment, loan, gift, contractual consideration etc., - I am satisfied that he has "paid" the release fee. Had he not done so, he would not have been entitled to the release of his car. If this is a loan, he can of course request its return from Camden council in whatever terms the loan was agreed. Duress and unreasonable and excessive distress.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25) Mr. Thomson bases his final substantial ground of appeal in part on the Statute of Marlborough (or Distress Act) of 1267. In essence, Mr. Thomson submits that the process was draconian and unnecessary. In particular the refusal to release the vehicle until the penalty was paid was unreasonable and severe.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r>
        <w:t xml:space="preserve">26) Again I do not accept Mr. Thomson's submissions. Parliament has expressly given enforcement authorities the power to remove vehicles as part of the decriminalised enforcement of parking penalties. They have provided certain limitations on the exercise of that power, such as for vehicles displaying a disabled badge, and those which have been in contravention for less than half an hour after the expiry of paid for parking. None of those statutory limitations apply here. Camden council has followed a process prescribed by law and imposed lawfully fixed fees. </w:t>
      </w:r>
    </w:p>
    <w:p w:rsidR="005F7052" w:rsidRDefault="005F7052" w:rsidP="005F7052">
      <w:pPr>
        <w:autoSpaceDE w:val="0"/>
        <w:autoSpaceDN w:val="0"/>
        <w:adjustRightInd w:val="0"/>
        <w:spacing w:before="100" w:after="100"/>
      </w:pPr>
    </w:p>
    <w:p w:rsidR="005F7052" w:rsidRDefault="005F7052" w:rsidP="005F7052">
      <w:pPr>
        <w:autoSpaceDE w:val="0"/>
        <w:autoSpaceDN w:val="0"/>
        <w:adjustRightInd w:val="0"/>
        <w:spacing w:before="100" w:after="100"/>
      </w:pPr>
      <w:bookmarkStart w:id="0" w:name="_GoBack"/>
      <w:bookmarkEnd w:id="0"/>
      <w:r>
        <w:t xml:space="preserve">27) There may be mitigating circumstances that do make the rigorous application of the law inappropriate. The law however does not give me as an adjudicator authority to cancel a PCN or direct the return of a release fee on the ground of mitigation alone. Camden council has that power, but is not prepared to exercise it here. That is a matter legitimately for them. I do have power, when refusing an appeal, to recommend that the enforcement authority exercises its discretion in a motorist's favour, if I find there are "compelling circumstances". I have considered Mr. Thomson's submissions, but do not find any compelling circumstances. I refuse this appeal. </w:t>
      </w:r>
    </w:p>
    <w:p w:rsidR="00090488" w:rsidRPr="00090488" w:rsidRDefault="00090488" w:rsidP="005F7052">
      <w:pPr>
        <w:autoSpaceDE w:val="0"/>
        <w:autoSpaceDN w:val="0"/>
        <w:adjustRightInd w:val="0"/>
        <w:spacing w:before="100" w:after="100"/>
      </w:pPr>
      <w:r w:rsidRPr="00090488">
        <w:br/>
      </w:r>
    </w:p>
    <w:p w:rsidR="0081210B" w:rsidRDefault="0081210B" w:rsidP="00090488">
      <w:pPr>
        <w:autoSpaceDE w:val="0"/>
        <w:autoSpaceDN w:val="0"/>
        <w:adjustRightInd w:val="0"/>
        <w:spacing w:before="100" w:after="100"/>
      </w:pPr>
    </w:p>
    <w:sectPr w:rsidR="008121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0B"/>
    <w:rsid w:val="00090488"/>
    <w:rsid w:val="001216D5"/>
    <w:rsid w:val="003078CC"/>
    <w:rsid w:val="005F7052"/>
    <w:rsid w:val="0081210B"/>
    <w:rsid w:val="0083519C"/>
    <w:rsid w:val="00B50AB3"/>
    <w:rsid w:val="00DC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D70D2A-0E42-498D-BBD8-EAA2D141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475295">
      <w:marLeft w:val="0"/>
      <w:marRight w:val="0"/>
      <w:marTop w:val="0"/>
      <w:marBottom w:val="0"/>
      <w:divBdr>
        <w:top w:val="none" w:sz="0" w:space="0" w:color="auto"/>
        <w:left w:val="none" w:sz="0" w:space="0" w:color="auto"/>
        <w:bottom w:val="none" w:sz="0" w:space="0" w:color="auto"/>
        <w:right w:val="none" w:sz="0" w:space="0" w:color="auto"/>
      </w:divBdr>
      <w:divsChild>
        <w:div w:id="41829889">
          <w:marLeft w:val="0"/>
          <w:marRight w:val="0"/>
          <w:marTop w:val="0"/>
          <w:marBottom w:val="0"/>
          <w:divBdr>
            <w:top w:val="none" w:sz="0" w:space="0" w:color="auto"/>
            <w:left w:val="none" w:sz="0" w:space="0" w:color="auto"/>
            <w:bottom w:val="none" w:sz="0" w:space="0" w:color="auto"/>
            <w:right w:val="none" w:sz="0" w:space="0" w:color="auto"/>
          </w:divBdr>
        </w:div>
        <w:div w:id="1686248288">
          <w:marLeft w:val="0"/>
          <w:marRight w:val="0"/>
          <w:marTop w:val="0"/>
          <w:marBottom w:val="0"/>
          <w:divBdr>
            <w:top w:val="none" w:sz="0" w:space="0" w:color="auto"/>
            <w:left w:val="none" w:sz="0" w:space="0" w:color="auto"/>
            <w:bottom w:val="none" w:sz="0" w:space="0" w:color="auto"/>
            <w:right w:val="none" w:sz="0" w:space="0" w:color="auto"/>
          </w:divBdr>
        </w:div>
        <w:div w:id="1505243078">
          <w:marLeft w:val="0"/>
          <w:marRight w:val="0"/>
          <w:marTop w:val="0"/>
          <w:marBottom w:val="0"/>
          <w:divBdr>
            <w:top w:val="none" w:sz="0" w:space="0" w:color="auto"/>
            <w:left w:val="none" w:sz="0" w:space="0" w:color="auto"/>
            <w:bottom w:val="single" w:sz="12" w:space="0" w:color="C7DAEF"/>
            <w:right w:val="none" w:sz="0" w:space="0" w:color="auto"/>
          </w:divBdr>
        </w:div>
        <w:div w:id="76170936">
          <w:marLeft w:val="0"/>
          <w:marRight w:val="0"/>
          <w:marTop w:val="0"/>
          <w:marBottom w:val="75"/>
          <w:divBdr>
            <w:top w:val="none" w:sz="0" w:space="0" w:color="auto"/>
            <w:left w:val="none" w:sz="0" w:space="0" w:color="auto"/>
            <w:bottom w:val="single" w:sz="6" w:space="0" w:color="E4E4EE"/>
            <w:right w:val="none" w:sz="0" w:space="0" w:color="auto"/>
          </w:divBdr>
        </w:div>
        <w:div w:id="192047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3006</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Capita Secure Information Systems</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Hoy</dc:creator>
  <cp:lastModifiedBy>Garry Hoy</cp:lastModifiedBy>
  <cp:revision>2</cp:revision>
  <dcterms:created xsi:type="dcterms:W3CDTF">2015-08-07T08:46:00Z</dcterms:created>
  <dcterms:modified xsi:type="dcterms:W3CDTF">2015-08-07T08:46:00Z</dcterms:modified>
</cp:coreProperties>
</file>