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0B" w:rsidRPr="00AA2F76" w:rsidRDefault="0081210B" w:rsidP="0081210B">
      <w:pPr>
        <w:ind w:left="-284" w:right="-284"/>
        <w:rPr>
          <w:b/>
          <w:u w:val="single"/>
        </w:rPr>
      </w:pPr>
      <w:r w:rsidRPr="00AA2F76">
        <w:rPr>
          <w:b/>
          <w:u w:val="single"/>
        </w:rPr>
        <w:t>PARKING AND ROAD TRAFFIC APPEALS</w:t>
      </w:r>
    </w:p>
    <w:p w:rsidR="0081210B" w:rsidRPr="00AA2F76" w:rsidRDefault="0081210B" w:rsidP="0081210B">
      <w:pPr>
        <w:ind w:left="-284" w:right="-284"/>
        <w:rPr>
          <w:u w:val="single"/>
        </w:rPr>
      </w:pPr>
    </w:p>
    <w:p w:rsidR="0081210B" w:rsidRPr="00AA2F76" w:rsidRDefault="0081210B" w:rsidP="0081210B">
      <w:pPr>
        <w:ind w:left="-284" w:right="-284"/>
        <w:jc w:val="right"/>
        <w:rPr>
          <w:b/>
        </w:rPr>
      </w:pPr>
      <w:r w:rsidRPr="00AA2F76">
        <w:rPr>
          <w:b/>
          <w:u w:val="single"/>
        </w:rPr>
        <w:t xml:space="preserve">ANGEL HEARING CENTRE </w:t>
      </w:r>
    </w:p>
    <w:p w:rsidR="0081210B" w:rsidRPr="00AA2F76" w:rsidRDefault="0081210B" w:rsidP="0081210B">
      <w:pPr>
        <w:ind w:left="-284" w:right="-284"/>
      </w:pPr>
    </w:p>
    <w:p w:rsidR="0081210B" w:rsidRPr="00AA2F76" w:rsidRDefault="0081210B" w:rsidP="0081210B">
      <w:pPr>
        <w:ind w:left="-284" w:right="-284"/>
      </w:pPr>
      <w:r>
        <w:t>Before Adjudicator</w:t>
      </w:r>
      <w:r w:rsidRPr="00AA2F76">
        <w:t>:</w:t>
      </w:r>
    </w:p>
    <w:p w:rsidR="0081210B" w:rsidRPr="00AA2F76" w:rsidRDefault="00B50AB3" w:rsidP="0081210B">
      <w:pPr>
        <w:spacing w:before="100"/>
        <w:ind w:left="-284" w:right="-284"/>
        <w:rPr>
          <w:b/>
        </w:rPr>
      </w:pPr>
      <w:r>
        <w:rPr>
          <w:b/>
        </w:rPr>
        <w:t>Carl Teper</w:t>
      </w:r>
    </w:p>
    <w:p w:rsidR="0081210B" w:rsidRPr="00AA2F76" w:rsidRDefault="0081210B" w:rsidP="0081210B">
      <w:pPr>
        <w:ind w:left="-284" w:right="-284"/>
        <w:rPr>
          <w:b/>
        </w:rPr>
      </w:pPr>
    </w:p>
    <w:p w:rsidR="0081210B" w:rsidRPr="00AA2F76" w:rsidRDefault="0081210B" w:rsidP="0081210B">
      <w:pPr>
        <w:ind w:left="-284" w:right="-284"/>
        <w:rPr>
          <w:b/>
        </w:rPr>
      </w:pPr>
    </w:p>
    <w:p w:rsidR="0081210B" w:rsidRPr="00AA2F76" w:rsidRDefault="00B50AB3" w:rsidP="0081210B">
      <w:pPr>
        <w:ind w:left="-284" w:right="-284"/>
        <w:jc w:val="center"/>
        <w:rPr>
          <w:b/>
        </w:rPr>
      </w:pPr>
      <w:proofErr w:type="spellStart"/>
      <w:r>
        <w:rPr>
          <w:b/>
        </w:rPr>
        <w:t>Sainsburys</w:t>
      </w:r>
      <w:proofErr w:type="spellEnd"/>
      <w:r>
        <w:rPr>
          <w:b/>
        </w:rPr>
        <w:t xml:space="preserve"> Supermarkets</w:t>
      </w:r>
    </w:p>
    <w:p w:rsidR="0081210B" w:rsidRPr="00AA2F76" w:rsidRDefault="0081210B" w:rsidP="0081210B">
      <w:pPr>
        <w:spacing w:before="100"/>
        <w:ind w:left="-284" w:right="-284"/>
        <w:jc w:val="center"/>
      </w:pPr>
      <w:r w:rsidRPr="00AA2F76">
        <w:t>-v-</w:t>
      </w:r>
    </w:p>
    <w:p w:rsidR="0081210B" w:rsidRDefault="00B50AB3" w:rsidP="0081210B">
      <w:pPr>
        <w:spacing w:before="100"/>
        <w:ind w:left="-284" w:right="-284"/>
        <w:jc w:val="center"/>
        <w:rPr>
          <w:b/>
        </w:rPr>
      </w:pPr>
      <w:r>
        <w:rPr>
          <w:b/>
        </w:rPr>
        <w:t>Transport for London</w:t>
      </w:r>
    </w:p>
    <w:p w:rsidR="0081210B" w:rsidRPr="0081210B" w:rsidRDefault="0081210B" w:rsidP="0081210B">
      <w:pPr>
        <w:spacing w:before="100"/>
        <w:ind w:left="-284" w:right="-284"/>
        <w:jc w:val="right"/>
        <w:rPr>
          <w:b/>
        </w:rPr>
      </w:pPr>
      <w:r w:rsidRPr="00AA2F76">
        <w:rPr>
          <w:i/>
        </w:rPr>
        <w:t xml:space="preserve">Appeal number </w:t>
      </w:r>
      <w:r w:rsidR="00B50AB3">
        <w:t>2110572773</w:t>
      </w:r>
    </w:p>
    <w:p w:rsidR="0081210B" w:rsidRPr="00AA2F76" w:rsidRDefault="0081210B" w:rsidP="0081210B">
      <w:pPr>
        <w:ind w:left="-284" w:right="-284"/>
      </w:pPr>
    </w:p>
    <w:p w:rsidR="0081210B" w:rsidRPr="00AA2F76" w:rsidRDefault="0081210B" w:rsidP="0081210B">
      <w:pPr>
        <w:ind w:left="-284" w:right="-284"/>
      </w:pPr>
    </w:p>
    <w:p w:rsidR="0081210B" w:rsidRPr="00AA2F76" w:rsidRDefault="0081210B" w:rsidP="0081210B">
      <w:pPr>
        <w:ind w:left="-284" w:right="-284"/>
      </w:pPr>
      <w:r w:rsidRPr="00AA2F76">
        <w:t xml:space="preserve">Date of </w:t>
      </w:r>
      <w:r>
        <w:t>Decision</w:t>
      </w:r>
      <w:r w:rsidRPr="00AA2F76">
        <w:t xml:space="preserve">: </w:t>
      </w:r>
      <w:r w:rsidR="00B50AB3">
        <w:t xml:space="preserve">17 November </w:t>
      </w:r>
      <w:bookmarkStart w:id="0" w:name="_GoBack"/>
      <w:bookmarkEnd w:id="0"/>
      <w:r w:rsidR="00B50AB3">
        <w:t>2011</w:t>
      </w:r>
    </w:p>
    <w:p w:rsidR="0081210B" w:rsidRPr="00AA2F76" w:rsidRDefault="0081210B" w:rsidP="0081210B">
      <w:pPr>
        <w:ind w:left="-284" w:right="-284"/>
      </w:pPr>
    </w:p>
    <w:p w:rsidR="0081210B" w:rsidRPr="00AA2F76" w:rsidRDefault="0081210B" w:rsidP="0081210B">
      <w:pPr>
        <w:ind w:left="-284" w:right="-284"/>
        <w:jc w:val="right"/>
        <w:rPr>
          <w:b/>
        </w:rPr>
      </w:pPr>
    </w:p>
    <w:p w:rsidR="0081210B" w:rsidRPr="00AA2F76" w:rsidRDefault="0081210B" w:rsidP="0081210B">
      <w:pPr>
        <w:ind w:left="-284" w:right="-284"/>
        <w:jc w:val="right"/>
        <w:rPr>
          <w:b/>
        </w:rPr>
      </w:pPr>
    </w:p>
    <w:p w:rsidR="0081210B" w:rsidRPr="00AA2F76" w:rsidRDefault="0081210B" w:rsidP="0081210B">
      <w:pPr>
        <w:pBdr>
          <w:top w:val="single" w:sz="4" w:space="1" w:color="auto"/>
          <w:bottom w:val="single" w:sz="4" w:space="1" w:color="auto"/>
        </w:pBdr>
        <w:ind w:left="-284" w:right="-284"/>
        <w:jc w:val="center"/>
        <w:rPr>
          <w:b/>
        </w:rPr>
      </w:pPr>
    </w:p>
    <w:p w:rsidR="0081210B" w:rsidRPr="00737B61" w:rsidRDefault="0081210B" w:rsidP="0081210B">
      <w:pPr>
        <w:pBdr>
          <w:top w:val="single" w:sz="4" w:space="1" w:color="auto"/>
          <w:bottom w:val="single" w:sz="4" w:space="1" w:color="auto"/>
        </w:pBdr>
        <w:ind w:left="-284" w:right="-284"/>
        <w:jc w:val="center"/>
        <w:rPr>
          <w:b/>
          <w:sz w:val="32"/>
          <w:szCs w:val="32"/>
        </w:rPr>
      </w:pPr>
      <w:r w:rsidRPr="00737B61">
        <w:rPr>
          <w:b/>
          <w:sz w:val="32"/>
          <w:szCs w:val="32"/>
        </w:rPr>
        <w:t>D E C I S I O N</w:t>
      </w:r>
    </w:p>
    <w:p w:rsidR="0081210B" w:rsidRPr="00AA2F76" w:rsidRDefault="0081210B" w:rsidP="0081210B">
      <w:pPr>
        <w:pBdr>
          <w:top w:val="single" w:sz="4" w:space="1" w:color="auto"/>
          <w:bottom w:val="single" w:sz="4" w:space="1" w:color="auto"/>
        </w:pBdr>
        <w:ind w:left="-284" w:right="-284"/>
        <w:jc w:val="center"/>
        <w:rPr>
          <w:b/>
        </w:rPr>
      </w:pPr>
    </w:p>
    <w:p w:rsidR="0081210B" w:rsidRDefault="0081210B"/>
    <w:p w:rsidR="00B50AB3" w:rsidRPr="00B50AB3" w:rsidRDefault="00B50AB3" w:rsidP="00B50AB3">
      <w:pPr>
        <w:autoSpaceDE w:val="0"/>
        <w:autoSpaceDN w:val="0"/>
        <w:adjustRightInd w:val="0"/>
        <w:spacing w:before="100" w:after="100"/>
      </w:pPr>
      <w:r w:rsidRPr="00B50AB3">
        <w:t>Mr Mark Janssen has attended on behalf of the Appellant Company.</w:t>
      </w:r>
      <w:r w:rsidRPr="00B50AB3">
        <w:br/>
      </w:r>
      <w:r w:rsidRPr="00B50AB3">
        <w:br/>
      </w:r>
      <w:r w:rsidRPr="00B50AB3">
        <w:rPr>
          <w:color w:val="000000"/>
        </w:rPr>
        <w:t>I have considered the evidence and watched the CCTV footage and I find that the Appellant's vehicle was stopped in the box junction due to stationary vehicles travelling in the same direction as their vehicle when in the Archway Road/Jacksons Lane/Highgate Avenue/Shepherds Hill on 7 September 2011 at 13.11.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Mr Janssen takes two points in relation to this appeal.</w:t>
      </w:r>
      <w:r w:rsidRPr="00B50AB3">
        <w:rPr>
          <w:color w:val="000000"/>
        </w:rPr>
        <w:br/>
      </w:r>
      <w:r w:rsidRPr="00B50AB3">
        <w:rPr>
          <w:color w:val="000000"/>
        </w:rPr>
        <w:br/>
      </w:r>
      <w:proofErr w:type="gramStart"/>
      <w:r w:rsidRPr="00B50AB3">
        <w:rPr>
          <w:color w:val="000000"/>
        </w:rPr>
        <w:t>First, that</w:t>
      </w:r>
      <w:proofErr w:type="gramEnd"/>
      <w:r w:rsidRPr="00B50AB3">
        <w:rPr>
          <w:color w:val="000000"/>
        </w:rPr>
        <w:t xml:space="preserve"> the Penalty Charge Notice incorrectly states the time for payment of the penalty charge. In that it records '</w:t>
      </w:r>
      <w:r w:rsidRPr="00B50AB3">
        <w:rPr>
          <w:i/>
          <w:iCs/>
          <w:color w:val="000000"/>
        </w:rPr>
        <w:t>If you fail to pay the penalty charge or make representations before the end of the period of 28 days beginning with the date of service of this notice, a</w:t>
      </w:r>
      <w:r w:rsidRPr="00B50AB3">
        <w:rPr>
          <w:color w:val="000000"/>
        </w:rPr>
        <w:t xml:space="preserve"> ....'. Mr Janssen points out that the legislation requires that the payment of the penalty charge is from the '</w:t>
      </w:r>
      <w:r w:rsidRPr="00B50AB3">
        <w:rPr>
          <w:i/>
          <w:iCs/>
          <w:color w:val="000000"/>
        </w:rPr>
        <w:t>date of the notice'</w:t>
      </w:r>
      <w:r w:rsidRPr="00B50AB3">
        <w:rPr>
          <w:color w:val="000000"/>
        </w:rPr>
        <w:t xml:space="preserve"> and not the </w:t>
      </w:r>
      <w:r w:rsidRPr="00B50AB3">
        <w:rPr>
          <w:i/>
          <w:iCs/>
          <w:color w:val="000000"/>
        </w:rPr>
        <w:t>'date of the service of the notice'</w:t>
      </w:r>
      <w:r w:rsidRPr="00B50AB3">
        <w:rPr>
          <w:color w:val="000000"/>
        </w:rPr>
        <w:t>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Second, Mr Janssen complains that the authority did not address this point in the Notice of Rejection.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I have considered the points raised by Mr Janssen and reject both of them for the following reasons: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First, above the section of the Penalty Charge Notice that deals with the representations it states as follows: '</w:t>
      </w:r>
      <w:r w:rsidRPr="00B50AB3">
        <w:rPr>
          <w:i/>
          <w:iCs/>
          <w:color w:val="000000"/>
        </w:rPr>
        <w:t>A penalty charge of £130.00 is payable before the end of the period of 28 days beginning with the date of this notice'</w:t>
      </w:r>
      <w:r w:rsidRPr="00B50AB3">
        <w:rPr>
          <w:color w:val="000000"/>
        </w:rPr>
        <w:t xml:space="preserve">. I find that this complies with the legislation. </w:t>
      </w:r>
      <w:r w:rsidRPr="00B50AB3">
        <w:rPr>
          <w:color w:val="000000"/>
        </w:rPr>
        <w:br/>
      </w:r>
      <w:r w:rsidRPr="00B50AB3">
        <w:rPr>
          <w:color w:val="000000"/>
        </w:rPr>
        <w:lastRenderedPageBreak/>
        <w:br/>
        <w:t xml:space="preserve">The words that follow reflect the position in relation to the representations, which is that they must be submitted </w:t>
      </w:r>
      <w:r w:rsidRPr="00B50AB3">
        <w:rPr>
          <w:i/>
          <w:iCs/>
          <w:color w:val="000000"/>
        </w:rPr>
        <w:t>'before the end of the period of 28 days beginning with the date of service of this notice</w:t>
      </w:r>
      <w:r w:rsidRPr="00B50AB3">
        <w:rPr>
          <w:color w:val="000000"/>
        </w:rPr>
        <w:t>'. The fact that the sentence commences with the words '</w:t>
      </w:r>
      <w:r w:rsidRPr="00B50AB3">
        <w:rPr>
          <w:i/>
          <w:iCs/>
          <w:color w:val="000000"/>
        </w:rPr>
        <w:t>If you fail to pay the penalty charge</w:t>
      </w:r>
      <w:r w:rsidRPr="00B50AB3">
        <w:rPr>
          <w:color w:val="000000"/>
        </w:rPr>
        <w:t>...' is, in my judgment, irrelevant because the time for payment has already been clearly stated at the beginning of the paragraph.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The legislation makes a difference between the time for payment of the penalty amount and the time for the submission of the representations, and I am satisfied that the authority's Penalty Charge Notice accurately states this position.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Second, I find that the authority has recorded in the Notice of Rejection that they have considered and rejected the Appellant's representations. I do not find that they have to go on and explain in detail the reasons for the rejection.</w:t>
      </w:r>
      <w:r w:rsidRPr="00B50AB3">
        <w:rPr>
          <w:color w:val="000000"/>
        </w:rPr>
        <w:br/>
      </w:r>
      <w:r w:rsidRPr="00B50AB3">
        <w:rPr>
          <w:color w:val="000000"/>
        </w:rPr>
        <w:br/>
        <w:t>The appeal is refused.</w:t>
      </w:r>
      <w:r w:rsidRPr="00B50AB3">
        <w:rPr>
          <w:color w:val="000000"/>
        </w:rPr>
        <w:br/>
      </w:r>
    </w:p>
    <w:p w:rsidR="0081210B" w:rsidRPr="0081210B" w:rsidRDefault="0081210B" w:rsidP="0081210B">
      <w:pPr>
        <w:autoSpaceDE w:val="0"/>
        <w:autoSpaceDN w:val="0"/>
        <w:adjustRightInd w:val="0"/>
        <w:spacing w:before="100" w:after="100"/>
      </w:pPr>
      <w:r w:rsidRPr="0081210B">
        <w:br/>
      </w:r>
    </w:p>
    <w:p w:rsidR="0081210B" w:rsidRDefault="0081210B"/>
    <w:sectPr w:rsidR="008121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0B"/>
    <w:rsid w:val="001216D5"/>
    <w:rsid w:val="0081210B"/>
    <w:rsid w:val="0083519C"/>
    <w:rsid w:val="00B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Secure Information Systems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Hoy</dc:creator>
  <cp:lastModifiedBy>Garry Hoy</cp:lastModifiedBy>
  <cp:revision>2</cp:revision>
  <dcterms:created xsi:type="dcterms:W3CDTF">2013-07-17T13:18:00Z</dcterms:created>
  <dcterms:modified xsi:type="dcterms:W3CDTF">2013-07-17T13:18:00Z</dcterms:modified>
</cp:coreProperties>
</file>