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DD5E1" w14:textId="2D939667" w:rsidR="00051572" w:rsidRDefault="00051572" w:rsidP="003255F8">
      <w:pPr>
        <w:spacing w:after="0" w:line="240" w:lineRule="auto"/>
        <w:jc w:val="both"/>
        <w:rPr>
          <w:rFonts w:eastAsia="Times New Roman" w:cstheme="minorHAnsi"/>
          <w:b/>
          <w:bCs/>
          <w:color w:val="333333"/>
          <w:lang w:eastAsia="en-GB"/>
        </w:rPr>
      </w:pPr>
      <w:r>
        <w:rPr>
          <w:rFonts w:eastAsia="Times New Roman" w:cstheme="minorHAnsi"/>
          <w:b/>
          <w:bCs/>
          <w:color w:val="333333"/>
          <w:lang w:eastAsia="en-GB"/>
        </w:rPr>
        <w:t>Issue: RUCA Review decision – Transfer of liability under a hire agreement</w:t>
      </w:r>
      <w:bookmarkStart w:id="0" w:name="_GoBack"/>
      <w:bookmarkEnd w:id="0"/>
    </w:p>
    <w:p w14:paraId="3E5A5C73" w14:textId="77777777" w:rsidR="00051572" w:rsidRDefault="00051572" w:rsidP="003255F8">
      <w:pPr>
        <w:spacing w:after="0" w:line="240" w:lineRule="auto"/>
        <w:jc w:val="both"/>
        <w:rPr>
          <w:rFonts w:eastAsia="Times New Roman" w:cstheme="minorHAnsi"/>
          <w:b/>
          <w:bCs/>
          <w:color w:val="333333"/>
          <w:lang w:eastAsia="en-GB"/>
        </w:rPr>
      </w:pPr>
    </w:p>
    <w:p w14:paraId="1FB8D69B" w14:textId="31261419" w:rsidR="003255F8" w:rsidRPr="003255F8" w:rsidRDefault="003255F8" w:rsidP="003255F8">
      <w:pPr>
        <w:spacing w:after="0" w:line="240" w:lineRule="auto"/>
        <w:jc w:val="both"/>
        <w:rPr>
          <w:rFonts w:eastAsia="Times New Roman" w:cstheme="minorHAnsi"/>
          <w:b/>
          <w:bCs/>
          <w:color w:val="333333"/>
          <w:lang w:eastAsia="en-GB"/>
        </w:rPr>
      </w:pPr>
      <w:r w:rsidRPr="003255F8">
        <w:rPr>
          <w:rFonts w:eastAsia="Times New Roman" w:cstheme="minorHAnsi"/>
          <w:b/>
          <w:bCs/>
          <w:color w:val="333333"/>
          <w:lang w:eastAsia="en-GB"/>
        </w:rPr>
        <w:t>Case Details</w:t>
      </w:r>
    </w:p>
    <w:p w14:paraId="110DAF9C" w14:textId="488E9AAC" w:rsidR="003255F8" w:rsidRPr="003255F8" w:rsidRDefault="003255F8" w:rsidP="003255F8">
      <w:pPr>
        <w:spacing w:after="0" w:line="240" w:lineRule="auto"/>
        <w:jc w:val="both"/>
        <w:rPr>
          <w:rFonts w:eastAsia="Times New Roman" w:cstheme="minorHAnsi"/>
          <w:color w:val="333333"/>
          <w:lang w:eastAsia="en-GB"/>
        </w:rPr>
      </w:pPr>
      <w:r w:rsidRPr="003255F8">
        <w:rPr>
          <w:rFonts w:eastAsia="Times New Roman" w:cstheme="minorHAnsi"/>
          <w:b/>
          <w:bCs/>
          <w:color w:val="333333"/>
          <w:lang w:eastAsia="en-GB"/>
        </w:rPr>
        <w:t>Case reference</w:t>
      </w:r>
      <w:r w:rsidRPr="003255F8">
        <w:rPr>
          <w:rFonts w:eastAsia="Times New Roman" w:cstheme="minorHAnsi"/>
          <w:color w:val="333333"/>
          <w:lang w:eastAsia="en-GB"/>
        </w:rPr>
        <w:tab/>
      </w:r>
      <w:r>
        <w:rPr>
          <w:rFonts w:eastAsia="Times New Roman" w:cstheme="minorHAnsi"/>
          <w:color w:val="333333"/>
          <w:lang w:eastAsia="en-GB"/>
        </w:rPr>
        <w:tab/>
      </w:r>
      <w:r>
        <w:rPr>
          <w:rFonts w:eastAsia="Times New Roman" w:cstheme="minorHAnsi"/>
          <w:color w:val="333333"/>
          <w:lang w:eastAsia="en-GB"/>
        </w:rPr>
        <w:tab/>
      </w:r>
      <w:r w:rsidRPr="003255F8">
        <w:rPr>
          <w:rFonts w:eastAsia="Times New Roman" w:cstheme="minorHAnsi"/>
          <w:color w:val="333333"/>
          <w:lang w:eastAsia="en-GB"/>
        </w:rPr>
        <w:t>918028522A</w:t>
      </w:r>
    </w:p>
    <w:p w14:paraId="5516A918" w14:textId="58651904" w:rsidR="003255F8" w:rsidRPr="003255F8" w:rsidRDefault="003255F8" w:rsidP="003255F8">
      <w:pPr>
        <w:spacing w:after="0" w:line="240" w:lineRule="auto"/>
        <w:jc w:val="both"/>
        <w:rPr>
          <w:rFonts w:eastAsia="Times New Roman" w:cstheme="minorHAnsi"/>
          <w:color w:val="333333"/>
          <w:lang w:eastAsia="en-GB"/>
        </w:rPr>
      </w:pPr>
      <w:r w:rsidRPr="003255F8">
        <w:rPr>
          <w:rFonts w:eastAsia="Times New Roman" w:cstheme="minorHAnsi"/>
          <w:b/>
          <w:bCs/>
          <w:color w:val="333333"/>
          <w:lang w:eastAsia="en-GB"/>
        </w:rPr>
        <w:t>Appellant</w:t>
      </w:r>
      <w:r w:rsidRPr="003255F8">
        <w:rPr>
          <w:rFonts w:eastAsia="Times New Roman" w:cstheme="minorHAnsi"/>
          <w:color w:val="333333"/>
          <w:lang w:eastAsia="en-GB"/>
        </w:rPr>
        <w:tab/>
      </w:r>
      <w:r>
        <w:rPr>
          <w:rFonts w:eastAsia="Times New Roman" w:cstheme="minorHAnsi"/>
          <w:color w:val="333333"/>
          <w:lang w:eastAsia="en-GB"/>
        </w:rPr>
        <w:tab/>
      </w:r>
      <w:r>
        <w:rPr>
          <w:rFonts w:eastAsia="Times New Roman" w:cstheme="minorHAnsi"/>
          <w:color w:val="333333"/>
          <w:lang w:eastAsia="en-GB"/>
        </w:rPr>
        <w:tab/>
      </w:r>
      <w:r w:rsidRPr="003255F8">
        <w:rPr>
          <w:rFonts w:eastAsia="Times New Roman" w:cstheme="minorHAnsi"/>
          <w:color w:val="333333"/>
          <w:lang w:eastAsia="en-GB"/>
        </w:rPr>
        <w:t>Blumens London Ltd</w:t>
      </w:r>
    </w:p>
    <w:p w14:paraId="6161EB1D" w14:textId="1F91FA8B" w:rsidR="003255F8" w:rsidRPr="003255F8" w:rsidRDefault="003255F8" w:rsidP="003255F8">
      <w:pPr>
        <w:spacing w:after="0" w:line="240" w:lineRule="auto"/>
        <w:jc w:val="both"/>
        <w:rPr>
          <w:rFonts w:eastAsia="Times New Roman" w:cstheme="minorHAnsi"/>
          <w:color w:val="333333"/>
          <w:lang w:eastAsia="en-GB"/>
        </w:rPr>
      </w:pPr>
      <w:r w:rsidRPr="003255F8">
        <w:rPr>
          <w:rFonts w:eastAsia="Times New Roman" w:cstheme="minorHAnsi"/>
          <w:b/>
          <w:bCs/>
          <w:color w:val="333333"/>
          <w:lang w:eastAsia="en-GB"/>
        </w:rPr>
        <w:t>Authority</w:t>
      </w:r>
      <w:r w:rsidRPr="003255F8">
        <w:rPr>
          <w:rFonts w:eastAsia="Times New Roman" w:cstheme="minorHAnsi"/>
          <w:color w:val="333333"/>
          <w:lang w:eastAsia="en-GB"/>
        </w:rPr>
        <w:tab/>
      </w:r>
      <w:r>
        <w:rPr>
          <w:rFonts w:eastAsia="Times New Roman" w:cstheme="minorHAnsi"/>
          <w:color w:val="333333"/>
          <w:lang w:eastAsia="en-GB"/>
        </w:rPr>
        <w:tab/>
      </w:r>
      <w:r>
        <w:rPr>
          <w:rFonts w:eastAsia="Times New Roman" w:cstheme="minorHAnsi"/>
          <w:color w:val="333333"/>
          <w:lang w:eastAsia="en-GB"/>
        </w:rPr>
        <w:tab/>
      </w:r>
      <w:r w:rsidRPr="003255F8">
        <w:rPr>
          <w:rFonts w:eastAsia="Times New Roman" w:cstheme="minorHAnsi"/>
          <w:color w:val="333333"/>
          <w:lang w:eastAsia="en-GB"/>
        </w:rPr>
        <w:t>Transport for London</w:t>
      </w:r>
    </w:p>
    <w:p w14:paraId="048598DF" w14:textId="0EEF329A" w:rsidR="003255F8" w:rsidRPr="003255F8" w:rsidRDefault="003255F8" w:rsidP="003255F8">
      <w:pPr>
        <w:spacing w:after="0" w:line="240" w:lineRule="auto"/>
        <w:jc w:val="both"/>
        <w:rPr>
          <w:rFonts w:eastAsia="Times New Roman" w:cstheme="minorHAnsi"/>
          <w:color w:val="333333"/>
          <w:lang w:eastAsia="en-GB"/>
        </w:rPr>
      </w:pPr>
      <w:r w:rsidRPr="003255F8">
        <w:rPr>
          <w:rFonts w:eastAsia="Times New Roman" w:cstheme="minorHAnsi"/>
          <w:b/>
          <w:bCs/>
          <w:color w:val="333333"/>
          <w:lang w:eastAsia="en-GB"/>
        </w:rPr>
        <w:t>VRM</w:t>
      </w:r>
      <w:r w:rsidRPr="003255F8">
        <w:rPr>
          <w:rFonts w:eastAsia="Times New Roman" w:cstheme="minorHAnsi"/>
          <w:color w:val="333333"/>
          <w:lang w:eastAsia="en-GB"/>
        </w:rPr>
        <w:tab/>
      </w:r>
      <w:r>
        <w:rPr>
          <w:rFonts w:eastAsia="Times New Roman" w:cstheme="minorHAnsi"/>
          <w:color w:val="333333"/>
          <w:lang w:eastAsia="en-GB"/>
        </w:rPr>
        <w:tab/>
      </w:r>
      <w:r>
        <w:rPr>
          <w:rFonts w:eastAsia="Times New Roman" w:cstheme="minorHAnsi"/>
          <w:color w:val="333333"/>
          <w:lang w:eastAsia="en-GB"/>
        </w:rPr>
        <w:tab/>
      </w:r>
      <w:r>
        <w:rPr>
          <w:rFonts w:eastAsia="Times New Roman" w:cstheme="minorHAnsi"/>
          <w:color w:val="333333"/>
          <w:lang w:eastAsia="en-GB"/>
        </w:rPr>
        <w:tab/>
      </w:r>
      <w:r w:rsidRPr="003255F8">
        <w:rPr>
          <w:rFonts w:eastAsia="Times New Roman" w:cstheme="minorHAnsi"/>
          <w:color w:val="333333"/>
          <w:lang w:eastAsia="en-GB"/>
        </w:rPr>
        <w:t>BP66HWE</w:t>
      </w:r>
    </w:p>
    <w:p w14:paraId="1446549E" w14:textId="77777777" w:rsidR="003255F8" w:rsidRPr="003255F8" w:rsidRDefault="003255F8" w:rsidP="003255F8">
      <w:pPr>
        <w:spacing w:after="0" w:line="240" w:lineRule="auto"/>
        <w:jc w:val="both"/>
        <w:rPr>
          <w:rFonts w:eastAsia="Times New Roman" w:cstheme="minorHAnsi"/>
          <w:color w:val="333333"/>
          <w:lang w:eastAsia="en-GB"/>
        </w:rPr>
      </w:pPr>
    </w:p>
    <w:p w14:paraId="6928EE50" w14:textId="77777777" w:rsidR="003255F8" w:rsidRPr="003255F8" w:rsidRDefault="003255F8" w:rsidP="003255F8">
      <w:pPr>
        <w:spacing w:after="0" w:line="240" w:lineRule="auto"/>
        <w:jc w:val="both"/>
        <w:rPr>
          <w:rFonts w:eastAsia="Times New Roman" w:cstheme="minorHAnsi"/>
          <w:b/>
          <w:bCs/>
          <w:color w:val="333333"/>
          <w:lang w:eastAsia="en-GB"/>
        </w:rPr>
      </w:pPr>
      <w:r w:rsidRPr="003255F8">
        <w:rPr>
          <w:rFonts w:eastAsia="Times New Roman" w:cstheme="minorHAnsi"/>
          <w:b/>
          <w:bCs/>
          <w:color w:val="333333"/>
          <w:lang w:eastAsia="en-GB"/>
        </w:rPr>
        <w:t>PCN Details</w:t>
      </w:r>
    </w:p>
    <w:p w14:paraId="624B66C0" w14:textId="411496B6" w:rsidR="003255F8" w:rsidRPr="003255F8" w:rsidRDefault="003255F8" w:rsidP="003255F8">
      <w:pPr>
        <w:spacing w:after="0" w:line="240" w:lineRule="auto"/>
        <w:jc w:val="both"/>
        <w:rPr>
          <w:rFonts w:eastAsia="Times New Roman" w:cstheme="minorHAnsi"/>
          <w:color w:val="333333"/>
          <w:lang w:eastAsia="en-GB"/>
        </w:rPr>
      </w:pPr>
      <w:r w:rsidRPr="003255F8">
        <w:rPr>
          <w:rFonts w:eastAsia="Times New Roman" w:cstheme="minorHAnsi"/>
          <w:b/>
          <w:bCs/>
          <w:color w:val="333333"/>
          <w:lang w:eastAsia="en-GB"/>
        </w:rPr>
        <w:t>PCN</w:t>
      </w:r>
      <w:r w:rsidRPr="003255F8">
        <w:rPr>
          <w:rFonts w:eastAsia="Times New Roman" w:cstheme="minorHAnsi"/>
          <w:color w:val="333333"/>
          <w:lang w:eastAsia="en-GB"/>
        </w:rPr>
        <w:tab/>
      </w:r>
      <w:r>
        <w:rPr>
          <w:rFonts w:eastAsia="Times New Roman" w:cstheme="minorHAnsi"/>
          <w:color w:val="333333"/>
          <w:lang w:eastAsia="en-GB"/>
        </w:rPr>
        <w:tab/>
      </w:r>
      <w:r>
        <w:rPr>
          <w:rFonts w:eastAsia="Times New Roman" w:cstheme="minorHAnsi"/>
          <w:color w:val="333333"/>
          <w:lang w:eastAsia="en-GB"/>
        </w:rPr>
        <w:tab/>
      </w:r>
      <w:r>
        <w:rPr>
          <w:rFonts w:eastAsia="Times New Roman" w:cstheme="minorHAnsi"/>
          <w:color w:val="333333"/>
          <w:lang w:eastAsia="en-GB"/>
        </w:rPr>
        <w:tab/>
      </w:r>
      <w:r w:rsidRPr="003255F8">
        <w:rPr>
          <w:rFonts w:eastAsia="Times New Roman" w:cstheme="minorHAnsi"/>
          <w:color w:val="333333"/>
          <w:lang w:eastAsia="en-GB"/>
        </w:rPr>
        <w:t>TZ18096885</w:t>
      </w:r>
    </w:p>
    <w:p w14:paraId="01B1BEFA" w14:textId="4DE6A141" w:rsidR="003255F8" w:rsidRPr="003255F8" w:rsidRDefault="003255F8" w:rsidP="003255F8">
      <w:pPr>
        <w:spacing w:after="0" w:line="240" w:lineRule="auto"/>
        <w:jc w:val="both"/>
        <w:rPr>
          <w:rFonts w:eastAsia="Times New Roman" w:cstheme="minorHAnsi"/>
          <w:color w:val="333333"/>
          <w:lang w:eastAsia="en-GB"/>
        </w:rPr>
      </w:pPr>
      <w:r w:rsidRPr="003255F8">
        <w:rPr>
          <w:rFonts w:eastAsia="Times New Roman" w:cstheme="minorHAnsi"/>
          <w:b/>
          <w:bCs/>
          <w:color w:val="333333"/>
          <w:lang w:eastAsia="en-GB"/>
        </w:rPr>
        <w:t>Contravention date</w:t>
      </w:r>
      <w:r>
        <w:rPr>
          <w:rFonts w:eastAsia="Times New Roman" w:cstheme="minorHAnsi"/>
          <w:color w:val="333333"/>
          <w:lang w:eastAsia="en-GB"/>
        </w:rPr>
        <w:tab/>
      </w:r>
      <w:r w:rsidRPr="003255F8">
        <w:rPr>
          <w:rFonts w:eastAsia="Times New Roman" w:cstheme="minorHAnsi"/>
          <w:color w:val="333333"/>
          <w:lang w:eastAsia="en-GB"/>
        </w:rPr>
        <w:tab/>
        <w:t>30 Oct 2017</w:t>
      </w:r>
    </w:p>
    <w:p w14:paraId="1AF82D87" w14:textId="23C50BFD" w:rsidR="003255F8" w:rsidRPr="003255F8" w:rsidRDefault="003255F8" w:rsidP="003255F8">
      <w:pPr>
        <w:spacing w:after="0" w:line="240" w:lineRule="auto"/>
        <w:jc w:val="both"/>
        <w:rPr>
          <w:rFonts w:eastAsia="Times New Roman" w:cstheme="minorHAnsi"/>
          <w:color w:val="333333"/>
          <w:lang w:eastAsia="en-GB"/>
        </w:rPr>
      </w:pPr>
      <w:r w:rsidRPr="003255F8">
        <w:rPr>
          <w:rFonts w:eastAsia="Times New Roman" w:cstheme="minorHAnsi"/>
          <w:b/>
          <w:bCs/>
          <w:color w:val="333333"/>
          <w:lang w:eastAsia="en-GB"/>
        </w:rPr>
        <w:t>Contravention time</w:t>
      </w:r>
      <w:r>
        <w:rPr>
          <w:rFonts w:eastAsia="Times New Roman" w:cstheme="minorHAnsi"/>
          <w:color w:val="333333"/>
          <w:lang w:eastAsia="en-GB"/>
        </w:rPr>
        <w:tab/>
      </w:r>
      <w:r w:rsidRPr="003255F8">
        <w:rPr>
          <w:rFonts w:eastAsia="Times New Roman" w:cstheme="minorHAnsi"/>
          <w:color w:val="333333"/>
          <w:lang w:eastAsia="en-GB"/>
        </w:rPr>
        <w:tab/>
        <w:t>11:45:00</w:t>
      </w:r>
    </w:p>
    <w:p w14:paraId="3DF74A12" w14:textId="5969A66D" w:rsidR="003255F8" w:rsidRPr="003255F8" w:rsidRDefault="003255F8" w:rsidP="003255F8">
      <w:pPr>
        <w:spacing w:after="0" w:line="240" w:lineRule="auto"/>
        <w:jc w:val="both"/>
        <w:rPr>
          <w:rFonts w:eastAsia="Times New Roman" w:cstheme="minorHAnsi"/>
          <w:color w:val="333333"/>
          <w:lang w:eastAsia="en-GB"/>
        </w:rPr>
      </w:pPr>
      <w:r w:rsidRPr="003255F8">
        <w:rPr>
          <w:rFonts w:eastAsia="Times New Roman" w:cstheme="minorHAnsi"/>
          <w:b/>
          <w:bCs/>
          <w:color w:val="333333"/>
          <w:lang w:eastAsia="en-GB"/>
        </w:rPr>
        <w:t>Contravention location</w:t>
      </w:r>
      <w:r w:rsidRPr="003255F8">
        <w:rPr>
          <w:rFonts w:eastAsia="Times New Roman" w:cstheme="minorHAnsi"/>
          <w:color w:val="333333"/>
          <w:lang w:eastAsia="en-GB"/>
        </w:rPr>
        <w:tab/>
      </w:r>
      <w:r>
        <w:rPr>
          <w:rFonts w:eastAsia="Times New Roman" w:cstheme="minorHAnsi"/>
          <w:color w:val="333333"/>
          <w:lang w:eastAsia="en-GB"/>
        </w:rPr>
        <w:tab/>
      </w:r>
      <w:r w:rsidRPr="003255F8">
        <w:rPr>
          <w:rFonts w:eastAsia="Times New Roman" w:cstheme="minorHAnsi"/>
          <w:color w:val="333333"/>
          <w:lang w:eastAsia="en-GB"/>
        </w:rPr>
        <w:t>King William Street</w:t>
      </w:r>
    </w:p>
    <w:p w14:paraId="52E15D98" w14:textId="3ED6FE07" w:rsidR="003255F8" w:rsidRPr="003255F8" w:rsidRDefault="003255F8" w:rsidP="003255F8">
      <w:pPr>
        <w:spacing w:after="0" w:line="240" w:lineRule="auto"/>
        <w:jc w:val="both"/>
        <w:rPr>
          <w:rFonts w:eastAsia="Times New Roman" w:cstheme="minorHAnsi"/>
          <w:color w:val="333333"/>
          <w:lang w:eastAsia="en-GB"/>
        </w:rPr>
      </w:pPr>
      <w:r w:rsidRPr="003255F8">
        <w:rPr>
          <w:rFonts w:eastAsia="Times New Roman" w:cstheme="minorHAnsi"/>
          <w:b/>
          <w:bCs/>
          <w:color w:val="333333"/>
          <w:lang w:eastAsia="en-GB"/>
        </w:rPr>
        <w:t>Penalty amount</w:t>
      </w:r>
      <w:r w:rsidRPr="003255F8">
        <w:rPr>
          <w:rFonts w:eastAsia="Times New Roman" w:cstheme="minorHAnsi"/>
          <w:b/>
          <w:bCs/>
          <w:color w:val="333333"/>
          <w:lang w:eastAsia="en-GB"/>
        </w:rPr>
        <w:tab/>
      </w:r>
      <w:r w:rsidRPr="003255F8">
        <w:rPr>
          <w:rFonts w:eastAsia="Times New Roman" w:cstheme="minorHAnsi"/>
          <w:b/>
          <w:bCs/>
          <w:color w:val="333333"/>
          <w:lang w:eastAsia="en-GB"/>
        </w:rPr>
        <w:tab/>
      </w:r>
      <w:r>
        <w:rPr>
          <w:rFonts w:eastAsia="Times New Roman" w:cstheme="minorHAnsi"/>
          <w:color w:val="333333"/>
          <w:lang w:eastAsia="en-GB"/>
        </w:rPr>
        <w:t>£</w:t>
      </w:r>
      <w:r w:rsidRPr="003255F8">
        <w:rPr>
          <w:rFonts w:eastAsia="Times New Roman" w:cstheme="minorHAnsi"/>
          <w:color w:val="333333"/>
          <w:lang w:eastAsia="en-GB"/>
        </w:rPr>
        <w:t>130.00</w:t>
      </w:r>
    </w:p>
    <w:p w14:paraId="2AD06DE1" w14:textId="5E1880B8" w:rsidR="003255F8" w:rsidRPr="003255F8" w:rsidRDefault="003255F8" w:rsidP="003255F8">
      <w:pPr>
        <w:spacing w:after="0" w:line="240" w:lineRule="auto"/>
        <w:jc w:val="both"/>
        <w:rPr>
          <w:rFonts w:eastAsia="Times New Roman" w:cstheme="minorHAnsi"/>
          <w:color w:val="333333"/>
          <w:lang w:eastAsia="en-GB"/>
        </w:rPr>
      </w:pPr>
      <w:r w:rsidRPr="003255F8">
        <w:rPr>
          <w:rFonts w:eastAsia="Times New Roman" w:cstheme="minorHAnsi"/>
          <w:b/>
          <w:bCs/>
          <w:color w:val="333333"/>
          <w:lang w:eastAsia="en-GB"/>
        </w:rPr>
        <w:t>Contravention</w:t>
      </w:r>
      <w:r w:rsidRPr="003255F8">
        <w:rPr>
          <w:rFonts w:eastAsia="Times New Roman" w:cstheme="minorHAnsi"/>
          <w:color w:val="333333"/>
          <w:lang w:eastAsia="en-GB"/>
        </w:rPr>
        <w:tab/>
      </w:r>
      <w:r>
        <w:rPr>
          <w:rFonts w:eastAsia="Times New Roman" w:cstheme="minorHAnsi"/>
          <w:color w:val="333333"/>
          <w:lang w:eastAsia="en-GB"/>
        </w:rPr>
        <w:tab/>
      </w:r>
      <w:r>
        <w:rPr>
          <w:rFonts w:eastAsia="Times New Roman" w:cstheme="minorHAnsi"/>
          <w:color w:val="333333"/>
          <w:lang w:eastAsia="en-GB"/>
        </w:rPr>
        <w:tab/>
      </w:r>
      <w:r w:rsidRPr="003255F8">
        <w:rPr>
          <w:rFonts w:eastAsia="Times New Roman" w:cstheme="minorHAnsi"/>
          <w:color w:val="333333"/>
          <w:lang w:eastAsia="en-GB"/>
        </w:rPr>
        <w:t>Failure to pay Congestion charge</w:t>
      </w:r>
    </w:p>
    <w:p w14:paraId="19142C87" w14:textId="7363A72C" w:rsidR="003255F8" w:rsidRPr="003255F8" w:rsidRDefault="003255F8" w:rsidP="003255F8">
      <w:pPr>
        <w:spacing w:after="0" w:line="240" w:lineRule="auto"/>
        <w:jc w:val="both"/>
        <w:rPr>
          <w:rFonts w:eastAsia="Times New Roman" w:cstheme="minorHAnsi"/>
          <w:color w:val="333333"/>
          <w:lang w:eastAsia="en-GB"/>
        </w:rPr>
      </w:pPr>
      <w:r w:rsidRPr="003255F8">
        <w:rPr>
          <w:rFonts w:eastAsia="Times New Roman" w:cstheme="minorHAnsi"/>
          <w:b/>
          <w:bCs/>
          <w:color w:val="333333"/>
          <w:lang w:eastAsia="en-GB"/>
        </w:rPr>
        <w:t>Decision Date</w:t>
      </w:r>
      <w:r w:rsidRPr="003255F8">
        <w:rPr>
          <w:rFonts w:eastAsia="Times New Roman" w:cstheme="minorHAnsi"/>
          <w:color w:val="333333"/>
          <w:lang w:eastAsia="en-GB"/>
        </w:rPr>
        <w:tab/>
      </w:r>
      <w:r>
        <w:rPr>
          <w:rFonts w:eastAsia="Times New Roman" w:cstheme="minorHAnsi"/>
          <w:color w:val="333333"/>
          <w:lang w:eastAsia="en-GB"/>
        </w:rPr>
        <w:tab/>
      </w:r>
      <w:r>
        <w:rPr>
          <w:rFonts w:eastAsia="Times New Roman" w:cstheme="minorHAnsi"/>
          <w:color w:val="333333"/>
          <w:lang w:eastAsia="en-GB"/>
        </w:rPr>
        <w:tab/>
      </w:r>
      <w:r w:rsidRPr="003255F8">
        <w:rPr>
          <w:rFonts w:eastAsia="Times New Roman" w:cstheme="minorHAnsi"/>
          <w:color w:val="333333"/>
          <w:lang w:eastAsia="en-GB"/>
        </w:rPr>
        <w:t>19 Dec 2018</w:t>
      </w:r>
    </w:p>
    <w:p w14:paraId="35FCFE13" w14:textId="1A910520" w:rsidR="003255F8" w:rsidRPr="003255F8" w:rsidRDefault="003255F8" w:rsidP="003255F8">
      <w:pPr>
        <w:spacing w:after="0" w:line="240" w:lineRule="auto"/>
        <w:jc w:val="both"/>
        <w:rPr>
          <w:rFonts w:eastAsia="Times New Roman" w:cstheme="minorHAnsi"/>
          <w:color w:val="333333"/>
          <w:lang w:eastAsia="en-GB"/>
        </w:rPr>
      </w:pPr>
      <w:r w:rsidRPr="003255F8">
        <w:rPr>
          <w:rFonts w:eastAsia="Times New Roman" w:cstheme="minorHAnsi"/>
          <w:b/>
          <w:bCs/>
          <w:color w:val="333333"/>
          <w:lang w:eastAsia="en-GB"/>
        </w:rPr>
        <w:t>Adjudicator</w:t>
      </w:r>
      <w:r w:rsidRPr="003255F8">
        <w:rPr>
          <w:rFonts w:eastAsia="Times New Roman" w:cstheme="minorHAnsi"/>
          <w:color w:val="333333"/>
          <w:lang w:eastAsia="en-GB"/>
        </w:rPr>
        <w:tab/>
      </w:r>
      <w:r>
        <w:rPr>
          <w:rFonts w:eastAsia="Times New Roman" w:cstheme="minorHAnsi"/>
          <w:color w:val="333333"/>
          <w:lang w:eastAsia="en-GB"/>
        </w:rPr>
        <w:tab/>
      </w:r>
      <w:r>
        <w:rPr>
          <w:rFonts w:eastAsia="Times New Roman" w:cstheme="minorHAnsi"/>
          <w:color w:val="333333"/>
          <w:lang w:eastAsia="en-GB"/>
        </w:rPr>
        <w:tab/>
      </w:r>
      <w:r w:rsidRPr="003255F8">
        <w:rPr>
          <w:rFonts w:eastAsia="Times New Roman" w:cstheme="minorHAnsi"/>
          <w:color w:val="333333"/>
          <w:lang w:eastAsia="en-GB"/>
        </w:rPr>
        <w:t>Gordon Cropper</w:t>
      </w:r>
    </w:p>
    <w:p w14:paraId="45AC003C" w14:textId="487E49BB" w:rsidR="003255F8" w:rsidRPr="003255F8" w:rsidRDefault="003255F8" w:rsidP="003255F8">
      <w:pPr>
        <w:spacing w:after="0" w:line="240" w:lineRule="auto"/>
        <w:jc w:val="both"/>
        <w:rPr>
          <w:rFonts w:eastAsia="Times New Roman" w:cstheme="minorHAnsi"/>
          <w:color w:val="333333"/>
          <w:lang w:eastAsia="en-GB"/>
        </w:rPr>
      </w:pPr>
      <w:r w:rsidRPr="003255F8">
        <w:rPr>
          <w:rFonts w:eastAsia="Times New Roman" w:cstheme="minorHAnsi"/>
          <w:b/>
          <w:bCs/>
          <w:color w:val="333333"/>
          <w:lang w:eastAsia="en-GB"/>
        </w:rPr>
        <w:t>Previous decision</w:t>
      </w:r>
      <w:r w:rsidRPr="003255F8">
        <w:rPr>
          <w:rFonts w:eastAsia="Times New Roman" w:cstheme="minorHAnsi"/>
          <w:color w:val="333333"/>
          <w:lang w:eastAsia="en-GB"/>
        </w:rPr>
        <w:tab/>
      </w:r>
      <w:r>
        <w:rPr>
          <w:rFonts w:eastAsia="Times New Roman" w:cstheme="minorHAnsi"/>
          <w:color w:val="333333"/>
          <w:lang w:eastAsia="en-GB"/>
        </w:rPr>
        <w:tab/>
      </w:r>
      <w:r w:rsidRPr="003255F8">
        <w:rPr>
          <w:rFonts w:eastAsia="Times New Roman" w:cstheme="minorHAnsi"/>
          <w:color w:val="333333"/>
          <w:lang w:eastAsia="en-GB"/>
        </w:rPr>
        <w:t>Appeal allowed</w:t>
      </w:r>
    </w:p>
    <w:p w14:paraId="3A8810F7" w14:textId="58DC2DBB" w:rsidR="003255F8" w:rsidRDefault="003255F8" w:rsidP="003255F8">
      <w:pPr>
        <w:spacing w:after="0" w:line="240" w:lineRule="auto"/>
        <w:jc w:val="both"/>
        <w:rPr>
          <w:rFonts w:eastAsia="Times New Roman" w:cstheme="minorHAnsi"/>
          <w:color w:val="333333"/>
          <w:lang w:eastAsia="en-GB"/>
        </w:rPr>
      </w:pPr>
      <w:r w:rsidRPr="003255F8">
        <w:rPr>
          <w:rFonts w:eastAsia="Times New Roman" w:cstheme="minorHAnsi"/>
          <w:b/>
          <w:bCs/>
          <w:color w:val="333333"/>
          <w:lang w:eastAsia="en-GB"/>
        </w:rPr>
        <w:t>Appeal decision</w:t>
      </w:r>
      <w:r w:rsidRPr="003255F8">
        <w:rPr>
          <w:rFonts w:eastAsia="Times New Roman" w:cstheme="minorHAnsi"/>
          <w:b/>
          <w:bCs/>
          <w:color w:val="333333"/>
          <w:lang w:eastAsia="en-GB"/>
        </w:rPr>
        <w:tab/>
      </w:r>
      <w:r>
        <w:rPr>
          <w:rFonts w:eastAsia="Times New Roman" w:cstheme="minorHAnsi"/>
          <w:color w:val="333333"/>
          <w:lang w:eastAsia="en-GB"/>
        </w:rPr>
        <w:tab/>
      </w:r>
      <w:r w:rsidRPr="003255F8">
        <w:rPr>
          <w:rFonts w:eastAsia="Times New Roman" w:cstheme="minorHAnsi"/>
          <w:color w:val="333333"/>
          <w:lang w:eastAsia="en-GB"/>
        </w:rPr>
        <w:t>Appeal refused</w:t>
      </w:r>
    </w:p>
    <w:p w14:paraId="6E86A78F" w14:textId="77777777" w:rsidR="003255F8" w:rsidRDefault="003255F8" w:rsidP="003255F8">
      <w:pPr>
        <w:spacing w:after="330" w:line="240" w:lineRule="auto"/>
        <w:jc w:val="both"/>
        <w:rPr>
          <w:rFonts w:eastAsia="Times New Roman" w:cstheme="minorHAnsi"/>
          <w:color w:val="333333"/>
          <w:lang w:eastAsia="en-GB"/>
        </w:rPr>
      </w:pPr>
    </w:p>
    <w:p w14:paraId="0A953509" w14:textId="14507AE0" w:rsidR="00FB5D67" w:rsidRPr="003255F8" w:rsidRDefault="00FB5D67" w:rsidP="003255F8">
      <w:pPr>
        <w:spacing w:after="330" w:line="240" w:lineRule="auto"/>
        <w:jc w:val="both"/>
        <w:rPr>
          <w:rFonts w:eastAsia="Times New Roman" w:cstheme="minorHAnsi"/>
          <w:color w:val="333333"/>
          <w:lang w:eastAsia="en-GB"/>
        </w:rPr>
      </w:pPr>
      <w:r w:rsidRPr="003255F8">
        <w:rPr>
          <w:rFonts w:eastAsia="Times New Roman" w:cstheme="minorHAnsi"/>
          <w:color w:val="333333"/>
          <w:lang w:eastAsia="en-GB"/>
        </w:rPr>
        <w:t>On 3rd October 2018 an adjudicator allowed two appeals by the appellant company, Blumens London Ltd, against penalty charge notices issued in respect of alleged contraventions of the congestion charging scheme. The two cases were separate, but involved the same parties, were based on similar facts and raised the same issue. Transport for London has requested a review of the decisions to allow the appeals, and it is convenient to deal with both cases together.</w:t>
      </w:r>
    </w:p>
    <w:p w14:paraId="192056F7" w14:textId="77777777" w:rsidR="00FB5D67" w:rsidRPr="003255F8" w:rsidRDefault="00FB5D67" w:rsidP="003255F8">
      <w:pPr>
        <w:spacing w:after="0" w:line="240" w:lineRule="auto"/>
        <w:jc w:val="both"/>
        <w:rPr>
          <w:rFonts w:eastAsia="Times New Roman" w:cstheme="minorHAnsi"/>
          <w:color w:val="333333"/>
          <w:lang w:eastAsia="en-GB"/>
        </w:rPr>
      </w:pPr>
      <w:r w:rsidRPr="003255F8">
        <w:rPr>
          <w:rFonts w:eastAsia="Times New Roman" w:cstheme="minorHAnsi"/>
          <w:color w:val="333333"/>
          <w:lang w:eastAsia="en-GB"/>
        </w:rPr>
        <w:t>The application to review the decisions rests upon the ground that it is in the interests of justice to do so. The issue in each case is the interpretation of the regulations governing transfer of liability for a penalty charge, and the point is one that commonly arises in dealing with vehicle hire firms seeking to transfer liability. I agree that the interests of justice require a review.</w:t>
      </w:r>
    </w:p>
    <w:p w14:paraId="7AE4089E" w14:textId="77777777" w:rsidR="003255F8" w:rsidRDefault="003255F8" w:rsidP="003255F8">
      <w:pPr>
        <w:spacing w:after="0" w:line="240" w:lineRule="auto"/>
        <w:jc w:val="both"/>
        <w:rPr>
          <w:rFonts w:eastAsia="Times New Roman" w:cstheme="minorHAnsi"/>
          <w:color w:val="333333"/>
          <w:lang w:eastAsia="en-GB"/>
        </w:rPr>
      </w:pPr>
    </w:p>
    <w:p w14:paraId="08B4FA28" w14:textId="1AC7B7D4" w:rsidR="00FB5D67" w:rsidRPr="003255F8" w:rsidRDefault="00FB5D67" w:rsidP="003255F8">
      <w:pPr>
        <w:spacing w:after="0" w:line="240" w:lineRule="auto"/>
        <w:jc w:val="both"/>
        <w:rPr>
          <w:rFonts w:eastAsia="Times New Roman" w:cstheme="minorHAnsi"/>
          <w:color w:val="333333"/>
          <w:lang w:eastAsia="en-GB"/>
        </w:rPr>
      </w:pPr>
      <w:r w:rsidRPr="003255F8">
        <w:rPr>
          <w:rFonts w:eastAsia="Times New Roman" w:cstheme="minorHAnsi"/>
          <w:color w:val="333333"/>
          <w:lang w:eastAsia="en-GB"/>
        </w:rPr>
        <w:t>The Facts</w:t>
      </w:r>
    </w:p>
    <w:p w14:paraId="21ED7B64" w14:textId="192B95FA" w:rsidR="00FB5D67" w:rsidRDefault="00FB5D67" w:rsidP="003255F8">
      <w:pPr>
        <w:spacing w:after="0" w:line="240" w:lineRule="auto"/>
        <w:jc w:val="both"/>
        <w:rPr>
          <w:rFonts w:eastAsia="Times New Roman" w:cstheme="minorHAnsi"/>
          <w:color w:val="333333"/>
          <w:lang w:eastAsia="en-GB"/>
        </w:rPr>
      </w:pPr>
      <w:r w:rsidRPr="003255F8">
        <w:rPr>
          <w:rFonts w:eastAsia="Times New Roman" w:cstheme="minorHAnsi"/>
          <w:color w:val="333333"/>
          <w:lang w:eastAsia="en-GB"/>
        </w:rPr>
        <w:t xml:space="preserve">The facts of these cases are not in dispute. In each case the registered keeper of the vehicle in question was UK Express Delivery Limited. In October 2017 each vehicle was used in the congestion charging area without the required charge having been paid. No exemption was shown to apply, and penalty charge notices were issued to the registered keeper. The registered keeper made representations to Transport for London, supplying a hire agreement, and the authority then cancelled the penalty charge notice against UK Express Delivery Limited and reissued the notices to another vehicle hire firm, One Stop Van Hire Limited. </w:t>
      </w:r>
    </w:p>
    <w:p w14:paraId="382565F9" w14:textId="77777777" w:rsidR="003255F8" w:rsidRPr="003255F8" w:rsidRDefault="003255F8" w:rsidP="003255F8">
      <w:pPr>
        <w:spacing w:after="0" w:line="240" w:lineRule="auto"/>
        <w:jc w:val="both"/>
        <w:rPr>
          <w:rFonts w:eastAsia="Times New Roman" w:cstheme="minorHAnsi"/>
          <w:color w:val="333333"/>
          <w:lang w:eastAsia="en-GB"/>
        </w:rPr>
      </w:pPr>
    </w:p>
    <w:p w14:paraId="2EA38146" w14:textId="0DC5C63F" w:rsidR="00FB5D67" w:rsidRDefault="00FB5D67" w:rsidP="003255F8">
      <w:pPr>
        <w:spacing w:after="0" w:line="240" w:lineRule="auto"/>
        <w:jc w:val="both"/>
        <w:rPr>
          <w:rFonts w:eastAsia="Times New Roman" w:cstheme="minorHAnsi"/>
          <w:color w:val="333333"/>
          <w:lang w:eastAsia="en-GB"/>
        </w:rPr>
      </w:pPr>
      <w:r w:rsidRPr="003255F8">
        <w:rPr>
          <w:rFonts w:eastAsia="Times New Roman" w:cstheme="minorHAnsi"/>
          <w:color w:val="333333"/>
          <w:lang w:eastAsia="en-GB"/>
        </w:rPr>
        <w:t xml:space="preserve">That firm then made representations to Transport for London, supplying a hire agreement. The authority cancelled the penalty charge notices against One Stop Van Hire Ltd and reissued them to the appellant company, Blumens London Ltd. </w:t>
      </w:r>
    </w:p>
    <w:p w14:paraId="7753089E" w14:textId="77777777" w:rsidR="003255F8" w:rsidRPr="003255F8" w:rsidRDefault="003255F8" w:rsidP="003255F8">
      <w:pPr>
        <w:spacing w:after="0" w:line="240" w:lineRule="auto"/>
        <w:jc w:val="both"/>
        <w:rPr>
          <w:rFonts w:eastAsia="Times New Roman" w:cstheme="minorHAnsi"/>
          <w:color w:val="333333"/>
          <w:lang w:eastAsia="en-GB"/>
        </w:rPr>
      </w:pPr>
    </w:p>
    <w:p w14:paraId="51A31B04" w14:textId="477E9C45" w:rsidR="00FB5D67" w:rsidRDefault="00FB5D67" w:rsidP="003255F8">
      <w:pPr>
        <w:spacing w:after="0" w:line="240" w:lineRule="auto"/>
        <w:jc w:val="both"/>
        <w:rPr>
          <w:rFonts w:eastAsia="Times New Roman" w:cstheme="minorHAnsi"/>
          <w:color w:val="333333"/>
          <w:lang w:eastAsia="en-GB"/>
        </w:rPr>
      </w:pPr>
      <w:r w:rsidRPr="003255F8">
        <w:rPr>
          <w:rFonts w:eastAsia="Times New Roman" w:cstheme="minorHAnsi"/>
          <w:color w:val="333333"/>
          <w:lang w:eastAsia="en-GB"/>
        </w:rPr>
        <w:t>In allowing each appeal the adjudicator ruled that only the registered keeper was able to take advantage of the provision allowing a vehicle hire firm to transfer liability. It followed that the transfer of liability from One Stop Van Hire Ltd to Blumens London Ltd was not effective, and liability for the penalty charge remained with One Stop Van Hire Ltd.</w:t>
      </w:r>
    </w:p>
    <w:p w14:paraId="5F3DDB1B" w14:textId="77777777" w:rsidR="003255F8" w:rsidRPr="003255F8" w:rsidRDefault="003255F8" w:rsidP="003255F8">
      <w:pPr>
        <w:spacing w:after="0" w:line="240" w:lineRule="auto"/>
        <w:jc w:val="both"/>
        <w:rPr>
          <w:rFonts w:eastAsia="Times New Roman" w:cstheme="minorHAnsi"/>
          <w:color w:val="333333"/>
          <w:lang w:eastAsia="en-GB"/>
        </w:rPr>
      </w:pPr>
    </w:p>
    <w:p w14:paraId="79505851" w14:textId="77777777" w:rsidR="00FB5D67" w:rsidRPr="003255F8" w:rsidRDefault="00FB5D67" w:rsidP="003255F8">
      <w:pPr>
        <w:spacing w:after="0" w:line="240" w:lineRule="auto"/>
        <w:jc w:val="both"/>
        <w:rPr>
          <w:rFonts w:eastAsia="Times New Roman" w:cstheme="minorHAnsi"/>
          <w:color w:val="333333"/>
          <w:lang w:eastAsia="en-GB"/>
        </w:rPr>
      </w:pPr>
      <w:r w:rsidRPr="003255F8">
        <w:rPr>
          <w:rFonts w:eastAsia="Times New Roman" w:cstheme="minorHAnsi"/>
          <w:color w:val="333333"/>
          <w:lang w:eastAsia="en-GB"/>
        </w:rPr>
        <w:t>Transport for London’s case</w:t>
      </w:r>
    </w:p>
    <w:p w14:paraId="1A5922E6" w14:textId="77777777" w:rsidR="00FB5D67" w:rsidRPr="003255F8" w:rsidRDefault="00FB5D67" w:rsidP="003255F8">
      <w:pPr>
        <w:spacing w:after="0" w:line="240" w:lineRule="auto"/>
        <w:jc w:val="both"/>
        <w:rPr>
          <w:rFonts w:eastAsia="Times New Roman" w:cstheme="minorHAnsi"/>
          <w:color w:val="333333"/>
          <w:lang w:eastAsia="en-GB"/>
        </w:rPr>
      </w:pPr>
      <w:r w:rsidRPr="003255F8">
        <w:rPr>
          <w:rFonts w:eastAsia="Times New Roman" w:cstheme="minorHAnsi"/>
          <w:color w:val="333333"/>
          <w:lang w:eastAsia="en-GB"/>
        </w:rPr>
        <w:t xml:space="preserve">The argument put forward by Transport for London is that, as the recipient of a penalty charge notice, One Stop Van Hire Ltd was entitled to make representations under regulation 13 of the Road User </w:t>
      </w:r>
      <w:r w:rsidRPr="003255F8">
        <w:rPr>
          <w:rFonts w:eastAsia="Times New Roman" w:cstheme="minorHAnsi"/>
          <w:color w:val="333333"/>
          <w:lang w:eastAsia="en-GB"/>
        </w:rPr>
        <w:lastRenderedPageBreak/>
        <w:t>Charging (Enforcement and Adjudication) (London) Regulations 2001, as amended. The regulations provide that all six of the grounds for representation are available to the company. Nothing in any of the regulations limits the grounds available, even to a party which was not the registered keeper. Regulation 13 makes the right of representation available to the recipient, not the registered keeper.</w:t>
      </w:r>
    </w:p>
    <w:p w14:paraId="689C949D" w14:textId="630B850E" w:rsidR="00FB5D67" w:rsidRDefault="00FB5D67" w:rsidP="003255F8">
      <w:pPr>
        <w:spacing w:after="0" w:line="240" w:lineRule="auto"/>
        <w:jc w:val="both"/>
        <w:rPr>
          <w:rFonts w:eastAsia="Times New Roman" w:cstheme="minorHAnsi"/>
          <w:color w:val="333333"/>
          <w:lang w:eastAsia="en-GB"/>
        </w:rPr>
      </w:pPr>
      <w:r w:rsidRPr="003255F8">
        <w:rPr>
          <w:rFonts w:eastAsia="Times New Roman" w:cstheme="minorHAnsi"/>
          <w:color w:val="333333"/>
          <w:lang w:eastAsia="en-GB"/>
        </w:rPr>
        <w:t xml:space="preserve">That point is supplemented by the argument that the regulations cannot have been intended to limit the ability to transfer liability to one transaction only. The intention must have been to allow enforcement of the penalty charge against the party liable – that presumably means the party immediately responsible – for the contravention. Commercial considerations require that a company that has hired in a vehicle should be able to hire that vehicle out and if </w:t>
      </w:r>
      <w:proofErr w:type="gramStart"/>
      <w:r w:rsidRPr="003255F8">
        <w:rPr>
          <w:rFonts w:eastAsia="Times New Roman" w:cstheme="minorHAnsi"/>
          <w:color w:val="333333"/>
          <w:lang w:eastAsia="en-GB"/>
        </w:rPr>
        <w:t>necessary</w:t>
      </w:r>
      <w:proofErr w:type="gramEnd"/>
      <w:r w:rsidRPr="003255F8">
        <w:rPr>
          <w:rFonts w:eastAsia="Times New Roman" w:cstheme="minorHAnsi"/>
          <w:color w:val="333333"/>
          <w:lang w:eastAsia="en-GB"/>
        </w:rPr>
        <w:t xml:space="preserve"> transfer liability for a penalty charge. It imposes an unfair burden upon such a company if the ability to transfer liability is denied.</w:t>
      </w:r>
    </w:p>
    <w:p w14:paraId="4BFC59A7" w14:textId="77777777" w:rsidR="003255F8" w:rsidRPr="003255F8" w:rsidRDefault="003255F8" w:rsidP="003255F8">
      <w:pPr>
        <w:spacing w:after="0" w:line="240" w:lineRule="auto"/>
        <w:jc w:val="both"/>
        <w:rPr>
          <w:rFonts w:eastAsia="Times New Roman" w:cstheme="minorHAnsi"/>
          <w:color w:val="333333"/>
          <w:lang w:eastAsia="en-GB"/>
        </w:rPr>
      </w:pPr>
    </w:p>
    <w:p w14:paraId="59FE3AAD" w14:textId="77777777" w:rsidR="00FB5D67" w:rsidRPr="003255F8" w:rsidRDefault="00FB5D67" w:rsidP="003255F8">
      <w:pPr>
        <w:spacing w:after="0" w:line="240" w:lineRule="auto"/>
        <w:jc w:val="both"/>
        <w:rPr>
          <w:rFonts w:eastAsia="Times New Roman" w:cstheme="minorHAnsi"/>
          <w:color w:val="333333"/>
          <w:lang w:eastAsia="en-GB"/>
        </w:rPr>
      </w:pPr>
      <w:r w:rsidRPr="003255F8">
        <w:rPr>
          <w:rFonts w:eastAsia="Times New Roman" w:cstheme="minorHAnsi"/>
          <w:color w:val="333333"/>
          <w:lang w:eastAsia="en-GB"/>
        </w:rPr>
        <w:t>Legislative provisions</w:t>
      </w:r>
    </w:p>
    <w:p w14:paraId="091DF16B" w14:textId="2B084744" w:rsidR="00FB5D67" w:rsidRDefault="00FB5D67" w:rsidP="003255F8">
      <w:pPr>
        <w:spacing w:after="0" w:line="240" w:lineRule="auto"/>
        <w:jc w:val="both"/>
        <w:rPr>
          <w:rFonts w:eastAsia="Times New Roman" w:cstheme="minorHAnsi"/>
          <w:color w:val="333333"/>
          <w:lang w:eastAsia="en-GB"/>
        </w:rPr>
      </w:pPr>
      <w:r w:rsidRPr="003255F8">
        <w:rPr>
          <w:rFonts w:eastAsia="Times New Roman" w:cstheme="minorHAnsi"/>
          <w:color w:val="333333"/>
          <w:lang w:eastAsia="en-GB"/>
        </w:rPr>
        <w:t xml:space="preserve">The Road User Charging (Enforcement and Adjudication) (London) Regulations 2001, as amended are referred to as the ‘Enforcement </w:t>
      </w:r>
      <w:proofErr w:type="gramStart"/>
      <w:r w:rsidRPr="003255F8">
        <w:rPr>
          <w:rFonts w:eastAsia="Times New Roman" w:cstheme="minorHAnsi"/>
          <w:color w:val="333333"/>
          <w:lang w:eastAsia="en-GB"/>
        </w:rPr>
        <w:t>regulations’</w:t>
      </w:r>
      <w:proofErr w:type="gramEnd"/>
      <w:r w:rsidRPr="003255F8">
        <w:rPr>
          <w:rFonts w:eastAsia="Times New Roman" w:cstheme="minorHAnsi"/>
          <w:color w:val="333333"/>
          <w:lang w:eastAsia="en-GB"/>
        </w:rPr>
        <w:t>.</w:t>
      </w:r>
    </w:p>
    <w:p w14:paraId="77A2CF3F" w14:textId="77777777" w:rsidR="003255F8" w:rsidRPr="003255F8" w:rsidRDefault="003255F8" w:rsidP="003255F8">
      <w:pPr>
        <w:spacing w:after="0" w:line="240" w:lineRule="auto"/>
        <w:jc w:val="both"/>
        <w:rPr>
          <w:rFonts w:eastAsia="Times New Roman" w:cstheme="minorHAnsi"/>
          <w:color w:val="333333"/>
          <w:lang w:eastAsia="en-GB"/>
        </w:rPr>
      </w:pPr>
    </w:p>
    <w:p w14:paraId="5CC33EEE" w14:textId="3BF59208" w:rsidR="00FB5D67" w:rsidRDefault="00FB5D67" w:rsidP="003255F8">
      <w:pPr>
        <w:spacing w:after="0" w:line="240" w:lineRule="auto"/>
        <w:jc w:val="both"/>
        <w:rPr>
          <w:rFonts w:eastAsia="Times New Roman" w:cstheme="minorHAnsi"/>
          <w:color w:val="333333"/>
          <w:lang w:eastAsia="en-GB"/>
        </w:rPr>
      </w:pPr>
      <w:r w:rsidRPr="003255F8">
        <w:rPr>
          <w:rFonts w:eastAsia="Times New Roman" w:cstheme="minorHAnsi"/>
          <w:color w:val="333333"/>
          <w:lang w:eastAsia="en-GB"/>
        </w:rPr>
        <w:t xml:space="preserve">The Road User Charging (Charges and Penalty Charges) (London) Regulations 2001, as amended are referred to as the ‘Charges </w:t>
      </w:r>
      <w:proofErr w:type="gramStart"/>
      <w:r w:rsidRPr="003255F8">
        <w:rPr>
          <w:rFonts w:eastAsia="Times New Roman" w:cstheme="minorHAnsi"/>
          <w:color w:val="333333"/>
          <w:lang w:eastAsia="en-GB"/>
        </w:rPr>
        <w:t>regulations’</w:t>
      </w:r>
      <w:proofErr w:type="gramEnd"/>
      <w:r w:rsidRPr="003255F8">
        <w:rPr>
          <w:rFonts w:eastAsia="Times New Roman" w:cstheme="minorHAnsi"/>
          <w:color w:val="333333"/>
          <w:lang w:eastAsia="en-GB"/>
        </w:rPr>
        <w:t>.</w:t>
      </w:r>
    </w:p>
    <w:p w14:paraId="56F01758" w14:textId="77777777" w:rsidR="003255F8" w:rsidRPr="003255F8" w:rsidRDefault="003255F8" w:rsidP="003255F8">
      <w:pPr>
        <w:spacing w:after="0" w:line="240" w:lineRule="auto"/>
        <w:jc w:val="both"/>
        <w:rPr>
          <w:rFonts w:eastAsia="Times New Roman" w:cstheme="minorHAnsi"/>
          <w:color w:val="333333"/>
          <w:lang w:eastAsia="en-GB"/>
        </w:rPr>
      </w:pPr>
    </w:p>
    <w:p w14:paraId="49521EFB" w14:textId="77777777" w:rsidR="00FB5D67" w:rsidRPr="003255F8" w:rsidRDefault="00FB5D67" w:rsidP="003255F8">
      <w:pPr>
        <w:spacing w:after="0" w:line="240" w:lineRule="auto"/>
        <w:jc w:val="both"/>
        <w:rPr>
          <w:rFonts w:eastAsia="Times New Roman" w:cstheme="minorHAnsi"/>
          <w:color w:val="333333"/>
          <w:lang w:eastAsia="en-GB"/>
        </w:rPr>
      </w:pPr>
      <w:r w:rsidRPr="003255F8">
        <w:rPr>
          <w:rFonts w:eastAsia="Times New Roman" w:cstheme="minorHAnsi"/>
          <w:color w:val="333333"/>
          <w:lang w:eastAsia="en-GB"/>
        </w:rPr>
        <w:t>Regulation 12 (2) of the Enforcement regulations provides as follows:</w:t>
      </w:r>
    </w:p>
    <w:p w14:paraId="6E7B59F3" w14:textId="77777777" w:rsidR="00FB5D67" w:rsidRPr="003255F8" w:rsidRDefault="00FB5D67" w:rsidP="003255F8">
      <w:pPr>
        <w:spacing w:after="0" w:line="240" w:lineRule="auto"/>
        <w:jc w:val="both"/>
        <w:rPr>
          <w:rFonts w:eastAsia="Times New Roman" w:cstheme="minorHAnsi"/>
          <w:color w:val="333333"/>
          <w:lang w:eastAsia="en-GB"/>
        </w:rPr>
      </w:pPr>
      <w:r w:rsidRPr="003255F8">
        <w:rPr>
          <w:rFonts w:eastAsia="Times New Roman" w:cstheme="minorHAnsi"/>
          <w:color w:val="333333"/>
          <w:lang w:eastAsia="en-GB"/>
        </w:rPr>
        <w:t>“A penalty charge notice shall be served on the registered keeper of the vehicle unless in accordance with the Charges and Penalty Charges Regulations, the penalty charge to which it relates is payable by another person, in which case the penalty charge notice shall be served on that other person.”</w:t>
      </w:r>
    </w:p>
    <w:p w14:paraId="7ED5BAF6" w14:textId="77777777" w:rsidR="003255F8" w:rsidRDefault="003255F8" w:rsidP="003255F8">
      <w:pPr>
        <w:spacing w:after="0" w:line="240" w:lineRule="auto"/>
        <w:jc w:val="both"/>
        <w:rPr>
          <w:rFonts w:eastAsia="Times New Roman" w:cstheme="minorHAnsi"/>
          <w:color w:val="333333"/>
          <w:lang w:eastAsia="en-GB"/>
        </w:rPr>
      </w:pPr>
    </w:p>
    <w:p w14:paraId="0D36A628" w14:textId="53BC6E06" w:rsidR="00FB5D67" w:rsidRPr="003255F8" w:rsidRDefault="00FB5D67" w:rsidP="003255F8">
      <w:pPr>
        <w:spacing w:after="0" w:line="240" w:lineRule="auto"/>
        <w:jc w:val="both"/>
        <w:rPr>
          <w:rFonts w:eastAsia="Times New Roman" w:cstheme="minorHAnsi"/>
          <w:color w:val="333333"/>
          <w:lang w:eastAsia="en-GB"/>
        </w:rPr>
      </w:pPr>
      <w:r w:rsidRPr="003255F8">
        <w:rPr>
          <w:rFonts w:eastAsia="Times New Roman" w:cstheme="minorHAnsi"/>
          <w:color w:val="333333"/>
          <w:lang w:eastAsia="en-GB"/>
        </w:rPr>
        <w:t>Regulation 13 (1) of the Enforcement regulations provides:</w:t>
      </w:r>
    </w:p>
    <w:p w14:paraId="04910F25" w14:textId="77777777" w:rsidR="00FB5D67" w:rsidRPr="003255F8" w:rsidRDefault="00FB5D67" w:rsidP="003255F8">
      <w:pPr>
        <w:spacing w:after="0" w:line="240" w:lineRule="auto"/>
        <w:jc w:val="both"/>
        <w:rPr>
          <w:rFonts w:eastAsia="Times New Roman" w:cstheme="minorHAnsi"/>
          <w:color w:val="333333"/>
          <w:lang w:eastAsia="en-GB"/>
        </w:rPr>
      </w:pPr>
      <w:r w:rsidRPr="003255F8">
        <w:rPr>
          <w:rFonts w:eastAsia="Times New Roman" w:cstheme="minorHAnsi"/>
          <w:color w:val="333333"/>
          <w:lang w:eastAsia="en-GB"/>
        </w:rPr>
        <w:t>“Where it appears to the recipient that one or other of the grounds mentioned in paragraph (3) are satisfied, he may make representations to that effect to the charging authority who served the penalty charge notice on him.”</w:t>
      </w:r>
    </w:p>
    <w:p w14:paraId="4BFEC446" w14:textId="77777777" w:rsidR="00FB5D67" w:rsidRPr="003255F8" w:rsidRDefault="00FB5D67" w:rsidP="003255F8">
      <w:pPr>
        <w:spacing w:after="0" w:line="240" w:lineRule="auto"/>
        <w:jc w:val="both"/>
        <w:rPr>
          <w:rFonts w:eastAsia="Times New Roman" w:cstheme="minorHAnsi"/>
          <w:color w:val="333333"/>
          <w:lang w:eastAsia="en-GB"/>
        </w:rPr>
      </w:pPr>
      <w:r w:rsidRPr="003255F8">
        <w:rPr>
          <w:rFonts w:eastAsia="Times New Roman" w:cstheme="minorHAnsi"/>
          <w:color w:val="333333"/>
          <w:lang w:eastAsia="en-GB"/>
        </w:rPr>
        <w:t>Regulation 13 (3) specifies the grounds upon which representations may be made; sub-paragraph (f) provides the ground relevant to a vehicle-hire firm:</w:t>
      </w:r>
    </w:p>
    <w:p w14:paraId="07BC965D" w14:textId="77777777" w:rsidR="00FB5D67" w:rsidRPr="003255F8" w:rsidRDefault="00FB5D67" w:rsidP="003255F8">
      <w:pPr>
        <w:spacing w:after="165" w:line="240" w:lineRule="auto"/>
        <w:jc w:val="both"/>
        <w:rPr>
          <w:rFonts w:eastAsia="Times New Roman" w:cstheme="minorHAnsi"/>
          <w:color w:val="333333"/>
          <w:lang w:eastAsia="en-GB"/>
        </w:rPr>
      </w:pPr>
      <w:proofErr w:type="gramStart"/>
      <w:r w:rsidRPr="003255F8">
        <w:rPr>
          <w:rFonts w:eastAsia="Times New Roman" w:cstheme="minorHAnsi"/>
          <w:color w:val="333333"/>
          <w:lang w:eastAsia="en-GB"/>
        </w:rPr>
        <w:t>“ that</w:t>
      </w:r>
      <w:proofErr w:type="gramEnd"/>
      <w:r w:rsidRPr="003255F8">
        <w:rPr>
          <w:rFonts w:eastAsia="Times New Roman" w:cstheme="minorHAnsi"/>
          <w:color w:val="333333"/>
          <w:lang w:eastAsia="en-GB"/>
        </w:rPr>
        <w:t xml:space="preserve"> the recipient is a vehicle-hire firm and—</w:t>
      </w:r>
    </w:p>
    <w:p w14:paraId="68E11499" w14:textId="77777777" w:rsidR="00FB5D67" w:rsidRPr="003255F8" w:rsidRDefault="00FB5D67" w:rsidP="003255F8">
      <w:pPr>
        <w:spacing w:after="165" w:line="240" w:lineRule="auto"/>
        <w:jc w:val="both"/>
        <w:rPr>
          <w:rFonts w:eastAsia="Times New Roman" w:cstheme="minorHAnsi"/>
          <w:color w:val="333333"/>
          <w:lang w:eastAsia="en-GB"/>
        </w:rPr>
      </w:pPr>
      <w:r w:rsidRPr="003255F8">
        <w:rPr>
          <w:rFonts w:eastAsia="Times New Roman" w:cstheme="minorHAnsi"/>
          <w:color w:val="333333"/>
          <w:lang w:eastAsia="en-GB"/>
        </w:rPr>
        <w:t>(i) the vehicle in question was at the material time hired from that firm under a hiring agreement; and</w:t>
      </w:r>
    </w:p>
    <w:p w14:paraId="1DE00EDF" w14:textId="77777777" w:rsidR="00FB5D67" w:rsidRPr="003255F8" w:rsidRDefault="00FB5D67" w:rsidP="003255F8">
      <w:pPr>
        <w:spacing w:after="165" w:line="240" w:lineRule="auto"/>
        <w:jc w:val="both"/>
        <w:rPr>
          <w:rFonts w:eastAsia="Times New Roman" w:cstheme="minorHAnsi"/>
          <w:color w:val="333333"/>
          <w:lang w:eastAsia="en-GB"/>
        </w:rPr>
      </w:pPr>
      <w:r w:rsidRPr="003255F8">
        <w:rPr>
          <w:rFonts w:eastAsia="Times New Roman" w:cstheme="minorHAnsi"/>
          <w:color w:val="333333"/>
          <w:lang w:eastAsia="en-GB"/>
        </w:rPr>
        <w:t>(ii) the person hiring it had signed a statement of liability acknowledging his liability in respect of any penalty charge notice imposed in relation to the vehicle during the currency of the hiring agreement.”</w:t>
      </w:r>
    </w:p>
    <w:p w14:paraId="37A739F5" w14:textId="77777777" w:rsidR="00FB5D67" w:rsidRPr="003255F8" w:rsidRDefault="00FB5D67" w:rsidP="003255F8">
      <w:pPr>
        <w:spacing w:after="165" w:line="240" w:lineRule="auto"/>
        <w:jc w:val="both"/>
        <w:rPr>
          <w:rFonts w:eastAsia="Times New Roman" w:cstheme="minorHAnsi"/>
          <w:color w:val="333333"/>
          <w:lang w:eastAsia="en-GB"/>
        </w:rPr>
      </w:pPr>
      <w:r w:rsidRPr="003255F8">
        <w:rPr>
          <w:rFonts w:eastAsia="Times New Roman" w:cstheme="minorHAnsi"/>
          <w:color w:val="333333"/>
          <w:lang w:eastAsia="en-GB"/>
        </w:rPr>
        <w:t>Regulation 14 of the Enforcement regulations provides:</w:t>
      </w:r>
    </w:p>
    <w:p w14:paraId="256747A5" w14:textId="77777777" w:rsidR="00FB5D67" w:rsidRPr="003255F8" w:rsidRDefault="00FB5D67" w:rsidP="003255F8">
      <w:pPr>
        <w:spacing w:after="165" w:line="240" w:lineRule="auto"/>
        <w:jc w:val="both"/>
        <w:rPr>
          <w:rFonts w:eastAsia="Times New Roman" w:cstheme="minorHAnsi"/>
          <w:color w:val="333333"/>
          <w:lang w:eastAsia="en-GB"/>
        </w:rPr>
      </w:pPr>
      <w:r w:rsidRPr="003255F8">
        <w:rPr>
          <w:rFonts w:eastAsia="Times New Roman" w:cstheme="minorHAnsi"/>
          <w:color w:val="333333"/>
          <w:lang w:eastAsia="en-GB"/>
        </w:rPr>
        <w:t xml:space="preserve">Where representations are made under regulation 13 and the charging authority concerned accept that the ground in question has been </w:t>
      </w:r>
      <w:proofErr w:type="gramStart"/>
      <w:r w:rsidRPr="003255F8">
        <w:rPr>
          <w:rFonts w:eastAsia="Times New Roman" w:cstheme="minorHAnsi"/>
          <w:color w:val="333333"/>
          <w:lang w:eastAsia="en-GB"/>
        </w:rPr>
        <w:t>established</w:t>
      </w:r>
      <w:proofErr w:type="gramEnd"/>
      <w:r w:rsidRPr="003255F8">
        <w:rPr>
          <w:rFonts w:eastAsia="Times New Roman" w:cstheme="minorHAnsi"/>
          <w:color w:val="333333"/>
          <w:lang w:eastAsia="en-GB"/>
        </w:rPr>
        <w:t xml:space="preserve"> they shall –</w:t>
      </w:r>
    </w:p>
    <w:p w14:paraId="06343E0A" w14:textId="77777777" w:rsidR="00FB5D67" w:rsidRPr="003255F8" w:rsidRDefault="00FB5D67" w:rsidP="003255F8">
      <w:pPr>
        <w:spacing w:after="165" w:line="240" w:lineRule="auto"/>
        <w:jc w:val="both"/>
        <w:rPr>
          <w:rFonts w:eastAsia="Times New Roman" w:cstheme="minorHAnsi"/>
          <w:color w:val="333333"/>
          <w:lang w:eastAsia="en-GB"/>
        </w:rPr>
      </w:pPr>
      <w:r w:rsidRPr="003255F8">
        <w:rPr>
          <w:rFonts w:eastAsia="Times New Roman" w:cstheme="minorHAnsi"/>
          <w:color w:val="333333"/>
          <w:lang w:eastAsia="en-GB"/>
        </w:rPr>
        <w:t>Cancel the penalty charge notice; and</w:t>
      </w:r>
    </w:p>
    <w:p w14:paraId="1D3CC8D9" w14:textId="77777777" w:rsidR="00FB5D67" w:rsidRPr="003255F8" w:rsidRDefault="00FB5D67" w:rsidP="003255F8">
      <w:pPr>
        <w:spacing w:after="165" w:line="240" w:lineRule="auto"/>
        <w:jc w:val="both"/>
        <w:rPr>
          <w:rFonts w:eastAsia="Times New Roman" w:cstheme="minorHAnsi"/>
          <w:color w:val="333333"/>
          <w:lang w:eastAsia="en-GB"/>
        </w:rPr>
      </w:pPr>
      <w:r w:rsidRPr="003255F8">
        <w:rPr>
          <w:rFonts w:eastAsia="Times New Roman" w:cstheme="minorHAnsi"/>
          <w:color w:val="333333"/>
          <w:lang w:eastAsia="en-GB"/>
        </w:rPr>
        <w:t>State in the notice served under regulation 13(6) that the penalty charge notice has been cancelled.</w:t>
      </w:r>
    </w:p>
    <w:p w14:paraId="3FF1DDB0" w14:textId="77777777" w:rsidR="00FB5D67" w:rsidRPr="003255F8" w:rsidRDefault="00FB5D67" w:rsidP="003255F8">
      <w:pPr>
        <w:spacing w:after="165" w:line="240" w:lineRule="auto"/>
        <w:jc w:val="both"/>
        <w:rPr>
          <w:rFonts w:eastAsia="Times New Roman" w:cstheme="minorHAnsi"/>
          <w:color w:val="333333"/>
          <w:lang w:eastAsia="en-GB"/>
        </w:rPr>
      </w:pPr>
      <w:r w:rsidRPr="003255F8">
        <w:rPr>
          <w:rFonts w:eastAsia="Times New Roman" w:cstheme="minorHAnsi"/>
          <w:color w:val="333333"/>
          <w:lang w:eastAsia="en-GB"/>
        </w:rPr>
        <w:t>The cancellation of a penalty charge notice under this regulation shall not be taken to prevent the charging authority concerned from serving a fresh penalty charge notice on the same or another person.</w:t>
      </w:r>
    </w:p>
    <w:p w14:paraId="3CD26CE6" w14:textId="77777777" w:rsidR="00FB5D67" w:rsidRPr="003255F8" w:rsidRDefault="00FB5D67" w:rsidP="003255F8">
      <w:pPr>
        <w:spacing w:after="165" w:line="240" w:lineRule="auto"/>
        <w:jc w:val="both"/>
        <w:rPr>
          <w:rFonts w:eastAsia="Times New Roman" w:cstheme="minorHAnsi"/>
          <w:color w:val="333333"/>
          <w:lang w:eastAsia="en-GB"/>
        </w:rPr>
      </w:pPr>
      <w:r w:rsidRPr="003255F8">
        <w:rPr>
          <w:rFonts w:eastAsia="Times New Roman" w:cstheme="minorHAnsi"/>
          <w:color w:val="333333"/>
          <w:lang w:eastAsia="en-GB"/>
        </w:rPr>
        <w:t>Regulation 6 of the Charges regulations provides:</w:t>
      </w:r>
    </w:p>
    <w:p w14:paraId="6FA883BA" w14:textId="77777777" w:rsidR="00FB5D67" w:rsidRPr="003255F8" w:rsidRDefault="00FB5D67" w:rsidP="003255F8">
      <w:pPr>
        <w:spacing w:after="165" w:line="240" w:lineRule="auto"/>
        <w:jc w:val="both"/>
        <w:rPr>
          <w:rFonts w:eastAsia="Times New Roman" w:cstheme="minorHAnsi"/>
          <w:color w:val="333333"/>
          <w:lang w:eastAsia="en-GB"/>
        </w:rPr>
      </w:pPr>
      <w:r w:rsidRPr="003255F8">
        <w:rPr>
          <w:rFonts w:eastAsia="Times New Roman" w:cstheme="minorHAnsi"/>
          <w:color w:val="333333"/>
          <w:lang w:eastAsia="en-GB"/>
        </w:rPr>
        <w:t>“(2) The circumstances in which, and the persons by whom, charges and penalty charges imposed in respect of a relevant vehicle by a charging scheme are to be payable otherwise than by the registered keeper are those specified in paragraphs (3) to (6)”</w:t>
      </w:r>
    </w:p>
    <w:p w14:paraId="2ED25E0C" w14:textId="77777777" w:rsidR="00FB5D67" w:rsidRPr="003255F8" w:rsidRDefault="00FB5D67" w:rsidP="003255F8">
      <w:pPr>
        <w:spacing w:after="0" w:line="240" w:lineRule="auto"/>
        <w:jc w:val="both"/>
        <w:rPr>
          <w:rFonts w:eastAsia="Times New Roman" w:cstheme="minorHAnsi"/>
          <w:color w:val="333333"/>
          <w:lang w:eastAsia="en-GB"/>
        </w:rPr>
      </w:pPr>
      <w:r w:rsidRPr="003255F8">
        <w:rPr>
          <w:rFonts w:eastAsia="Times New Roman" w:cstheme="minorHAnsi"/>
          <w:color w:val="333333"/>
          <w:lang w:eastAsia="en-GB"/>
        </w:rPr>
        <w:t xml:space="preserve">“(6) Where at the relevant time— </w:t>
      </w:r>
    </w:p>
    <w:p w14:paraId="576EC65A" w14:textId="77777777" w:rsidR="00FB5D67" w:rsidRPr="003255F8" w:rsidRDefault="00FB5D67" w:rsidP="003255F8">
      <w:pPr>
        <w:spacing w:after="0" w:line="240" w:lineRule="auto"/>
        <w:jc w:val="both"/>
        <w:rPr>
          <w:rFonts w:eastAsia="Times New Roman" w:cstheme="minorHAnsi"/>
          <w:color w:val="333333"/>
          <w:lang w:eastAsia="en-GB"/>
        </w:rPr>
      </w:pPr>
      <w:r w:rsidRPr="003255F8">
        <w:rPr>
          <w:rFonts w:eastAsia="Times New Roman" w:cstheme="minorHAnsi"/>
          <w:color w:val="333333"/>
          <w:lang w:eastAsia="en-GB"/>
        </w:rPr>
        <w:t>(a) the registered keeper of the relevant vehicle was a vehicle-hire firm;</w:t>
      </w:r>
    </w:p>
    <w:p w14:paraId="4FBC5C49" w14:textId="77777777" w:rsidR="00FB5D67" w:rsidRPr="003255F8" w:rsidRDefault="00FB5D67" w:rsidP="003255F8">
      <w:pPr>
        <w:spacing w:after="0" w:line="240" w:lineRule="auto"/>
        <w:jc w:val="both"/>
        <w:rPr>
          <w:rFonts w:eastAsia="Times New Roman" w:cstheme="minorHAnsi"/>
          <w:color w:val="333333"/>
          <w:lang w:eastAsia="en-GB"/>
        </w:rPr>
      </w:pPr>
      <w:r w:rsidRPr="003255F8">
        <w:rPr>
          <w:rFonts w:eastAsia="Times New Roman" w:cstheme="minorHAnsi"/>
          <w:color w:val="333333"/>
          <w:lang w:eastAsia="en-GB"/>
        </w:rPr>
        <w:lastRenderedPageBreak/>
        <w:t>(b) the relevant vehicle was hired from that firm under a hiring agreement;</w:t>
      </w:r>
    </w:p>
    <w:p w14:paraId="082D4473" w14:textId="77777777" w:rsidR="00FB5D67" w:rsidRPr="003255F8" w:rsidRDefault="00FB5D67" w:rsidP="003255F8">
      <w:pPr>
        <w:spacing w:after="0" w:line="240" w:lineRule="auto"/>
        <w:jc w:val="both"/>
        <w:rPr>
          <w:rFonts w:eastAsia="Times New Roman" w:cstheme="minorHAnsi"/>
          <w:color w:val="333333"/>
          <w:lang w:eastAsia="en-GB"/>
        </w:rPr>
      </w:pPr>
      <w:r w:rsidRPr="003255F8">
        <w:rPr>
          <w:rFonts w:eastAsia="Times New Roman" w:cstheme="minorHAnsi"/>
          <w:color w:val="333333"/>
          <w:lang w:eastAsia="en-GB"/>
        </w:rPr>
        <w:t>(c) the person hiring it signed a statement of liability acknowledging his liability for any charges or penalty charges incurred under a charging scheme during the currency of the hiring agreement,</w:t>
      </w:r>
    </w:p>
    <w:p w14:paraId="4BA7A0C8" w14:textId="77777777" w:rsidR="00FB5D67" w:rsidRPr="003255F8" w:rsidRDefault="00FB5D67" w:rsidP="003255F8">
      <w:pPr>
        <w:spacing w:after="0" w:line="240" w:lineRule="auto"/>
        <w:jc w:val="both"/>
        <w:rPr>
          <w:rFonts w:eastAsia="Times New Roman" w:cstheme="minorHAnsi"/>
          <w:color w:val="333333"/>
          <w:lang w:eastAsia="en-GB"/>
        </w:rPr>
      </w:pPr>
      <w:r w:rsidRPr="003255F8">
        <w:rPr>
          <w:rFonts w:eastAsia="Times New Roman" w:cstheme="minorHAnsi"/>
          <w:color w:val="333333"/>
          <w:lang w:eastAsia="en-GB"/>
        </w:rPr>
        <w:t xml:space="preserve">charges and penalty charges shall be payable by the hirer of the vehicle.” </w:t>
      </w:r>
    </w:p>
    <w:p w14:paraId="78CFEA8D" w14:textId="77777777" w:rsidR="00FB5D67" w:rsidRPr="003255F8" w:rsidRDefault="00FB5D67" w:rsidP="003255F8">
      <w:pPr>
        <w:spacing w:after="0" w:line="240" w:lineRule="auto"/>
        <w:jc w:val="both"/>
        <w:rPr>
          <w:rFonts w:eastAsia="Times New Roman" w:cstheme="minorHAnsi"/>
          <w:color w:val="333333"/>
          <w:lang w:eastAsia="en-GB"/>
        </w:rPr>
      </w:pPr>
      <w:r w:rsidRPr="003255F8">
        <w:rPr>
          <w:rFonts w:eastAsia="Times New Roman" w:cstheme="minorHAnsi"/>
          <w:color w:val="333333"/>
          <w:lang w:eastAsia="en-GB"/>
        </w:rPr>
        <w:t>Cancellation of penalty charge notices</w:t>
      </w:r>
    </w:p>
    <w:p w14:paraId="5B661184" w14:textId="77777777" w:rsidR="00FB5D67" w:rsidRPr="003255F8" w:rsidRDefault="00FB5D67" w:rsidP="003255F8">
      <w:pPr>
        <w:spacing w:after="0" w:line="240" w:lineRule="auto"/>
        <w:jc w:val="both"/>
        <w:rPr>
          <w:rFonts w:eastAsia="Times New Roman" w:cstheme="minorHAnsi"/>
          <w:color w:val="333333"/>
          <w:lang w:eastAsia="en-GB"/>
        </w:rPr>
      </w:pPr>
      <w:r w:rsidRPr="003255F8">
        <w:rPr>
          <w:rFonts w:eastAsia="Times New Roman" w:cstheme="minorHAnsi"/>
          <w:color w:val="333333"/>
          <w:lang w:eastAsia="en-GB"/>
        </w:rPr>
        <w:t xml:space="preserve">The penalty charge notice must in the first place be addressed to the registered keeper, who may make representations against it. If Transport for London is satisfied that one of the grounds in regulation 13(3) of the Enforcement regulations is </w:t>
      </w:r>
      <w:proofErr w:type="gramStart"/>
      <w:r w:rsidRPr="003255F8">
        <w:rPr>
          <w:rFonts w:eastAsia="Times New Roman" w:cstheme="minorHAnsi"/>
          <w:color w:val="333333"/>
          <w:lang w:eastAsia="en-GB"/>
        </w:rPr>
        <w:t>established</w:t>
      </w:r>
      <w:proofErr w:type="gramEnd"/>
      <w:r w:rsidRPr="003255F8">
        <w:rPr>
          <w:rFonts w:eastAsia="Times New Roman" w:cstheme="minorHAnsi"/>
          <w:color w:val="333333"/>
          <w:lang w:eastAsia="en-GB"/>
        </w:rPr>
        <w:t xml:space="preserve"> it is under a duty to cancel the penalty charge notice – regulation 14(1) of the Enforcement regulations. Regulation 14(2) permits the authority to re-serve the notice, either on the same person, or another. If it is re-served upon another person, that person becomes the recipient of the notice, and is entitled to make representations in respect of it – regulation 13(1) of the Enforcement regulations. The duty to cancel the penalty charge notice then applies in the same way as when the notice was sent to the registered keeper.</w:t>
      </w:r>
    </w:p>
    <w:p w14:paraId="75BADD2D" w14:textId="77777777" w:rsidR="00FB5D67" w:rsidRPr="003255F8" w:rsidRDefault="00FB5D67" w:rsidP="003255F8">
      <w:pPr>
        <w:spacing w:after="0" w:line="240" w:lineRule="auto"/>
        <w:jc w:val="both"/>
        <w:rPr>
          <w:rFonts w:eastAsia="Times New Roman" w:cstheme="minorHAnsi"/>
          <w:color w:val="333333"/>
          <w:lang w:eastAsia="en-GB"/>
        </w:rPr>
      </w:pPr>
      <w:r w:rsidRPr="003255F8">
        <w:rPr>
          <w:rFonts w:eastAsia="Times New Roman" w:cstheme="minorHAnsi"/>
          <w:color w:val="333333"/>
          <w:lang w:eastAsia="en-GB"/>
        </w:rPr>
        <w:t>Transfer of liability</w:t>
      </w:r>
    </w:p>
    <w:p w14:paraId="1CC3FA97" w14:textId="77777777" w:rsidR="00FB5D67" w:rsidRPr="003255F8" w:rsidRDefault="00FB5D67" w:rsidP="003255F8">
      <w:pPr>
        <w:spacing w:after="0" w:line="240" w:lineRule="auto"/>
        <w:jc w:val="both"/>
        <w:rPr>
          <w:rFonts w:eastAsia="Times New Roman" w:cstheme="minorHAnsi"/>
          <w:color w:val="333333"/>
          <w:lang w:eastAsia="en-GB"/>
        </w:rPr>
      </w:pPr>
      <w:r w:rsidRPr="003255F8">
        <w:rPr>
          <w:rFonts w:eastAsia="Times New Roman" w:cstheme="minorHAnsi"/>
          <w:color w:val="333333"/>
          <w:lang w:eastAsia="en-GB"/>
        </w:rPr>
        <w:t xml:space="preserve">Regulation 6 of the Charges regulations governs where liability for a penalty charge is to lie. Regulation 6(2) provides that paragraphs (3) to (6) specify those cases in which a person other than the registered keeper may be liable. These are the only provisions authorising the imposition of liability upon a person other than the registered keeper. Paragraph (6) deals with hiring cases. Sub-paragraph (a) requires the registered keeper to be a vehicle hire firm. </w:t>
      </w:r>
    </w:p>
    <w:p w14:paraId="2571346B" w14:textId="77777777" w:rsidR="00FB5D67" w:rsidRPr="003255F8" w:rsidRDefault="00FB5D67" w:rsidP="003255F8">
      <w:pPr>
        <w:spacing w:after="0" w:line="240" w:lineRule="auto"/>
        <w:jc w:val="both"/>
        <w:rPr>
          <w:rFonts w:eastAsia="Times New Roman" w:cstheme="minorHAnsi"/>
          <w:color w:val="333333"/>
          <w:lang w:eastAsia="en-GB"/>
        </w:rPr>
      </w:pPr>
      <w:r w:rsidRPr="003255F8">
        <w:rPr>
          <w:rFonts w:eastAsia="Times New Roman" w:cstheme="minorHAnsi"/>
          <w:color w:val="333333"/>
          <w:lang w:eastAsia="en-GB"/>
        </w:rPr>
        <w:t>There is an ambiguity in sub-paragraph (b). One interpretation would be that the hiring agreement that Transport for London is at that point considering is with “that firm”, meaning the registered keeper of the vehicle. The term “that firm” can only refer to the registered keeper as in sub-paragraph (a). That would mean that a vehicle hire firm that is not the registered keeper, but to which liability has been transferred after representations by the registered keeper, would not be able to bring itself within sub-paragraph (b).</w:t>
      </w:r>
    </w:p>
    <w:p w14:paraId="02F4C43E" w14:textId="77777777" w:rsidR="00FB5D67" w:rsidRPr="003255F8" w:rsidRDefault="00FB5D67" w:rsidP="003255F8">
      <w:pPr>
        <w:spacing w:after="0" w:line="240" w:lineRule="auto"/>
        <w:jc w:val="both"/>
        <w:rPr>
          <w:rFonts w:eastAsia="Times New Roman" w:cstheme="minorHAnsi"/>
          <w:color w:val="333333"/>
          <w:lang w:eastAsia="en-GB"/>
        </w:rPr>
      </w:pPr>
      <w:r w:rsidRPr="003255F8">
        <w:rPr>
          <w:rFonts w:eastAsia="Times New Roman" w:cstheme="minorHAnsi"/>
          <w:color w:val="333333"/>
          <w:lang w:eastAsia="en-GB"/>
        </w:rPr>
        <w:t>An alternative interpretation would be that the vehicle must be hired from “that firm”, (the registered keeper), under any hiring agreement then in force, but that the hiring agreement being considered by Transport for London need not be one to which the registered keeper is a party. In other words, the authority would be entitled to reissue the penalty charge notice after cancellation of a notice addressed to a firm to which liability had already been transferred.</w:t>
      </w:r>
    </w:p>
    <w:p w14:paraId="03192A10" w14:textId="77777777" w:rsidR="00FB5D67" w:rsidRPr="003255F8" w:rsidRDefault="00FB5D67" w:rsidP="003255F8">
      <w:pPr>
        <w:spacing w:after="0" w:line="240" w:lineRule="auto"/>
        <w:jc w:val="both"/>
        <w:rPr>
          <w:rFonts w:eastAsia="Times New Roman" w:cstheme="minorHAnsi"/>
          <w:color w:val="333333"/>
          <w:lang w:eastAsia="en-GB"/>
        </w:rPr>
      </w:pPr>
      <w:r w:rsidRPr="003255F8">
        <w:rPr>
          <w:rFonts w:eastAsia="Times New Roman" w:cstheme="minorHAnsi"/>
          <w:color w:val="333333"/>
          <w:lang w:eastAsia="en-GB"/>
        </w:rPr>
        <w:t xml:space="preserve">The first of those interpretations seems the more natural, but would produce the anomalous result that Transport for London, whilst under a duty to cancel the penalty charge notice if one of the grounds had been made out, would have no power to reissue the penalty charge notice to anyone else. That would undermine the effectiveness of the congestion charging scheme by making many contraventions of the scheme wholly unenforceable. That cannot have been the intended outcome. </w:t>
      </w:r>
    </w:p>
    <w:p w14:paraId="776F4961" w14:textId="77777777" w:rsidR="00FB5D67" w:rsidRPr="003255F8" w:rsidRDefault="00FB5D67" w:rsidP="003255F8">
      <w:pPr>
        <w:spacing w:after="0" w:line="240" w:lineRule="auto"/>
        <w:jc w:val="both"/>
        <w:rPr>
          <w:rFonts w:eastAsia="Times New Roman" w:cstheme="minorHAnsi"/>
          <w:color w:val="333333"/>
          <w:lang w:eastAsia="en-GB"/>
        </w:rPr>
      </w:pPr>
      <w:r w:rsidRPr="003255F8">
        <w:rPr>
          <w:rFonts w:eastAsia="Times New Roman" w:cstheme="minorHAnsi"/>
          <w:color w:val="333333"/>
          <w:lang w:eastAsia="en-GB"/>
        </w:rPr>
        <w:t xml:space="preserve">The second interpretation does not have that effect. Support for this interpretation may be found in the use of the indefinite article (“a hiring agreement”) in sub-paragraph (b), whereas in sub-paragraph (c) the definite article is used when referring to the hiring agreement under consideration, drawing a distinction between the overarching hiring agreement to which the registered keeper is a party and the immediate agreement relied upon by the recipient of the penalty charge notice. </w:t>
      </w:r>
    </w:p>
    <w:p w14:paraId="035F0D77" w14:textId="77777777" w:rsidR="00FB5D67" w:rsidRPr="003255F8" w:rsidRDefault="00FB5D67" w:rsidP="003255F8">
      <w:pPr>
        <w:spacing w:after="0" w:line="240" w:lineRule="auto"/>
        <w:jc w:val="both"/>
        <w:rPr>
          <w:rFonts w:eastAsia="Times New Roman" w:cstheme="minorHAnsi"/>
          <w:color w:val="333333"/>
          <w:lang w:eastAsia="en-GB"/>
        </w:rPr>
      </w:pPr>
      <w:r w:rsidRPr="003255F8">
        <w:rPr>
          <w:rFonts w:eastAsia="Times New Roman" w:cstheme="minorHAnsi"/>
          <w:color w:val="333333"/>
          <w:lang w:eastAsia="en-GB"/>
        </w:rPr>
        <w:t xml:space="preserve">Given that the provision is capable of more than one meaning, the better view is to adopt that which is more consistent with the overall aims of the congestion charging scheme. I proceed </w:t>
      </w:r>
      <w:proofErr w:type="gramStart"/>
      <w:r w:rsidRPr="003255F8">
        <w:rPr>
          <w:rFonts w:eastAsia="Times New Roman" w:cstheme="minorHAnsi"/>
          <w:color w:val="333333"/>
          <w:lang w:eastAsia="en-GB"/>
        </w:rPr>
        <w:t>on the basis of</w:t>
      </w:r>
      <w:proofErr w:type="gramEnd"/>
      <w:r w:rsidRPr="003255F8">
        <w:rPr>
          <w:rFonts w:eastAsia="Times New Roman" w:cstheme="minorHAnsi"/>
          <w:color w:val="333333"/>
          <w:lang w:eastAsia="en-GB"/>
        </w:rPr>
        <w:t xml:space="preserve"> the second interpretation, namely that the hiring agreement in question need not be one to which the registered keeper is a party provided that there is in force a hiring agreement from the registered keeper.</w:t>
      </w:r>
    </w:p>
    <w:p w14:paraId="70944A8C" w14:textId="77777777" w:rsidR="00FB5D67" w:rsidRPr="003255F8" w:rsidRDefault="00FB5D67" w:rsidP="003255F8">
      <w:pPr>
        <w:spacing w:after="0" w:line="240" w:lineRule="auto"/>
        <w:jc w:val="both"/>
        <w:rPr>
          <w:rFonts w:eastAsia="Times New Roman" w:cstheme="minorHAnsi"/>
          <w:color w:val="333333"/>
          <w:lang w:eastAsia="en-GB"/>
        </w:rPr>
      </w:pPr>
      <w:r w:rsidRPr="003255F8">
        <w:rPr>
          <w:rFonts w:eastAsia="Times New Roman" w:cstheme="minorHAnsi"/>
          <w:color w:val="333333"/>
          <w:lang w:eastAsia="en-GB"/>
        </w:rPr>
        <w:t>Conclusion</w:t>
      </w:r>
    </w:p>
    <w:p w14:paraId="607286B1" w14:textId="03FCBF2B" w:rsidR="00FB5D67" w:rsidRPr="003255F8" w:rsidRDefault="00FB5D67" w:rsidP="003255F8">
      <w:pPr>
        <w:jc w:val="both"/>
        <w:rPr>
          <w:rFonts w:cstheme="minorHAnsi"/>
        </w:rPr>
      </w:pPr>
      <w:r w:rsidRPr="003255F8">
        <w:rPr>
          <w:rFonts w:eastAsia="Times New Roman" w:cstheme="minorHAnsi"/>
          <w:color w:val="333333"/>
          <w:lang w:eastAsia="en-GB"/>
        </w:rPr>
        <w:t>Although the arguments of Transport for London do not fully address the issues in the case, I allow the review. The cancellation of the penalty charge notices addressed to UK Express Delivery Limited, and to One Stop Van Hire Ltd was in each case lawful. In the light of the reasoning above I find that the re-service of the notice firstly to One Stop Van Hire Ltd, then to Blumens London Ltd, was also lawful. For these reasons I find that the appeals by Blumens Limited should not have been allowed, and I dismiss those appeals.</w:t>
      </w:r>
    </w:p>
    <w:sectPr w:rsidR="00FB5D67" w:rsidRPr="003255F8" w:rsidSect="005819A1">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D67"/>
    <w:rsid w:val="00051572"/>
    <w:rsid w:val="00143F26"/>
    <w:rsid w:val="003255F8"/>
    <w:rsid w:val="005819A1"/>
    <w:rsid w:val="00FB5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19EFA"/>
  <w15:chartTrackingRefBased/>
  <w15:docId w15:val="{BC01A4FB-0271-4AED-8047-2D828D9B9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B5D67"/>
    <w:pPr>
      <w:spacing w:before="330" w:after="165" w:line="240" w:lineRule="auto"/>
      <w:outlineLvl w:val="1"/>
    </w:pPr>
    <w:rPr>
      <w:rFonts w:ascii="inherit" w:eastAsia="Times New Roman" w:hAnsi="inherit" w:cs="Times New Roman"/>
      <w:b/>
      <w:bCs/>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5D67"/>
    <w:rPr>
      <w:rFonts w:ascii="inherit" w:eastAsia="Times New Roman" w:hAnsi="inherit" w:cs="Times New Roman"/>
      <w:b/>
      <w:bCs/>
      <w:sz w:val="48"/>
      <w:szCs w:val="48"/>
      <w:lang w:eastAsia="en-GB"/>
    </w:rPr>
  </w:style>
  <w:style w:type="paragraph" w:styleId="NormalWeb">
    <w:name w:val="Normal (Web)"/>
    <w:basedOn w:val="Normal"/>
    <w:uiPriority w:val="99"/>
    <w:semiHidden/>
    <w:unhideWhenUsed/>
    <w:rsid w:val="00FB5D67"/>
    <w:pPr>
      <w:spacing w:after="165"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733760">
      <w:bodyDiv w:val="1"/>
      <w:marLeft w:val="0"/>
      <w:marRight w:val="0"/>
      <w:marTop w:val="0"/>
      <w:marBottom w:val="0"/>
      <w:divBdr>
        <w:top w:val="none" w:sz="0" w:space="0" w:color="auto"/>
        <w:left w:val="none" w:sz="0" w:space="0" w:color="auto"/>
        <w:bottom w:val="none" w:sz="0" w:space="0" w:color="auto"/>
        <w:right w:val="none" w:sz="0" w:space="0" w:color="auto"/>
      </w:divBdr>
      <w:divsChild>
        <w:div w:id="208152841">
          <w:marLeft w:val="0"/>
          <w:marRight w:val="0"/>
          <w:marTop w:val="0"/>
          <w:marBottom w:val="0"/>
          <w:divBdr>
            <w:top w:val="none" w:sz="0" w:space="0" w:color="auto"/>
            <w:left w:val="none" w:sz="0" w:space="0" w:color="auto"/>
            <w:bottom w:val="none" w:sz="0" w:space="0" w:color="auto"/>
            <w:right w:val="none" w:sz="0" w:space="0" w:color="auto"/>
          </w:divBdr>
          <w:divsChild>
            <w:div w:id="2144300560">
              <w:marLeft w:val="0"/>
              <w:marRight w:val="0"/>
              <w:marTop w:val="0"/>
              <w:marBottom w:val="0"/>
              <w:divBdr>
                <w:top w:val="none" w:sz="0" w:space="0" w:color="auto"/>
                <w:left w:val="none" w:sz="0" w:space="0" w:color="auto"/>
                <w:bottom w:val="none" w:sz="0" w:space="0" w:color="auto"/>
                <w:right w:val="none" w:sz="0" w:space="0" w:color="auto"/>
              </w:divBdr>
              <w:divsChild>
                <w:div w:id="1644003313">
                  <w:marLeft w:val="0"/>
                  <w:marRight w:val="0"/>
                  <w:marTop w:val="0"/>
                  <w:marBottom w:val="0"/>
                  <w:divBdr>
                    <w:top w:val="none" w:sz="0" w:space="0" w:color="auto"/>
                    <w:left w:val="none" w:sz="0" w:space="0" w:color="auto"/>
                    <w:bottom w:val="none" w:sz="0" w:space="0" w:color="auto"/>
                    <w:right w:val="none" w:sz="0" w:space="0" w:color="auto"/>
                  </w:divBdr>
                  <w:divsChild>
                    <w:div w:id="1504081357">
                      <w:marLeft w:val="0"/>
                      <w:marRight w:val="0"/>
                      <w:marTop w:val="0"/>
                      <w:marBottom w:val="0"/>
                      <w:divBdr>
                        <w:top w:val="none" w:sz="0" w:space="0" w:color="auto"/>
                        <w:left w:val="none" w:sz="0" w:space="0" w:color="auto"/>
                        <w:bottom w:val="none" w:sz="0" w:space="0" w:color="auto"/>
                        <w:right w:val="none" w:sz="0" w:space="0" w:color="auto"/>
                      </w:divBdr>
                      <w:divsChild>
                        <w:div w:id="1079865811">
                          <w:marLeft w:val="0"/>
                          <w:marRight w:val="0"/>
                          <w:marTop w:val="0"/>
                          <w:marBottom w:val="0"/>
                          <w:divBdr>
                            <w:top w:val="none" w:sz="0" w:space="0" w:color="auto"/>
                            <w:left w:val="none" w:sz="0" w:space="0" w:color="auto"/>
                            <w:bottom w:val="none" w:sz="0" w:space="0" w:color="auto"/>
                            <w:right w:val="none" w:sz="0" w:space="0" w:color="auto"/>
                          </w:divBdr>
                          <w:divsChild>
                            <w:div w:id="255481155">
                              <w:marLeft w:val="0"/>
                              <w:marRight w:val="0"/>
                              <w:marTop w:val="0"/>
                              <w:marBottom w:val="0"/>
                              <w:divBdr>
                                <w:top w:val="none" w:sz="0" w:space="0" w:color="auto"/>
                                <w:left w:val="none" w:sz="0" w:space="0" w:color="auto"/>
                                <w:bottom w:val="none" w:sz="0" w:space="0" w:color="auto"/>
                                <w:right w:val="none" w:sz="0" w:space="0" w:color="auto"/>
                              </w:divBdr>
                            </w:div>
                            <w:div w:id="8815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931363">
      <w:bodyDiv w:val="1"/>
      <w:marLeft w:val="0"/>
      <w:marRight w:val="0"/>
      <w:marTop w:val="0"/>
      <w:marBottom w:val="0"/>
      <w:divBdr>
        <w:top w:val="none" w:sz="0" w:space="0" w:color="auto"/>
        <w:left w:val="none" w:sz="0" w:space="0" w:color="auto"/>
        <w:bottom w:val="none" w:sz="0" w:space="0" w:color="auto"/>
        <w:right w:val="none" w:sz="0" w:space="0" w:color="auto"/>
      </w:divBdr>
      <w:divsChild>
        <w:div w:id="1642996387">
          <w:marLeft w:val="0"/>
          <w:marRight w:val="0"/>
          <w:marTop w:val="0"/>
          <w:marBottom w:val="0"/>
          <w:divBdr>
            <w:top w:val="none" w:sz="0" w:space="0" w:color="auto"/>
            <w:left w:val="none" w:sz="0" w:space="0" w:color="auto"/>
            <w:bottom w:val="none" w:sz="0" w:space="0" w:color="auto"/>
            <w:right w:val="none" w:sz="0" w:space="0" w:color="auto"/>
          </w:divBdr>
          <w:divsChild>
            <w:div w:id="818501907">
              <w:marLeft w:val="0"/>
              <w:marRight w:val="0"/>
              <w:marTop w:val="0"/>
              <w:marBottom w:val="0"/>
              <w:divBdr>
                <w:top w:val="none" w:sz="0" w:space="0" w:color="auto"/>
                <w:left w:val="none" w:sz="0" w:space="0" w:color="auto"/>
                <w:bottom w:val="none" w:sz="0" w:space="0" w:color="auto"/>
                <w:right w:val="none" w:sz="0" w:space="0" w:color="auto"/>
              </w:divBdr>
              <w:divsChild>
                <w:div w:id="1421490164">
                  <w:marLeft w:val="0"/>
                  <w:marRight w:val="0"/>
                  <w:marTop w:val="0"/>
                  <w:marBottom w:val="0"/>
                  <w:divBdr>
                    <w:top w:val="none" w:sz="0" w:space="0" w:color="auto"/>
                    <w:left w:val="none" w:sz="0" w:space="0" w:color="auto"/>
                    <w:bottom w:val="none" w:sz="0" w:space="0" w:color="auto"/>
                    <w:right w:val="none" w:sz="0" w:space="0" w:color="auto"/>
                  </w:divBdr>
                  <w:divsChild>
                    <w:div w:id="1641574367">
                      <w:marLeft w:val="0"/>
                      <w:marRight w:val="0"/>
                      <w:marTop w:val="0"/>
                      <w:marBottom w:val="0"/>
                      <w:divBdr>
                        <w:top w:val="none" w:sz="0" w:space="0" w:color="auto"/>
                        <w:left w:val="none" w:sz="0" w:space="0" w:color="auto"/>
                        <w:bottom w:val="none" w:sz="0" w:space="0" w:color="auto"/>
                        <w:right w:val="none" w:sz="0" w:space="0" w:color="auto"/>
                      </w:divBdr>
                      <w:divsChild>
                        <w:div w:id="166431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1626</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London Councils</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Hoy</dc:creator>
  <cp:keywords/>
  <dc:description/>
  <cp:lastModifiedBy>Garry Hoy</cp:lastModifiedBy>
  <cp:revision>3</cp:revision>
  <dcterms:created xsi:type="dcterms:W3CDTF">2019-11-01T08:05:00Z</dcterms:created>
  <dcterms:modified xsi:type="dcterms:W3CDTF">2019-12-05T14:34:00Z</dcterms:modified>
</cp:coreProperties>
</file>